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qsekvwnhdy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qsekvwnhdy</w:t>
      </w:r>
    </w:p>
    <w:p>
      <w:pPr>
        <w:pStyle w:val="BodyText"/>
      </w:pPr>
      <w:r>
        <w:rPr>
          <w:bCs/>
          <w:b/>
        </w:rPr>
        <w:t xml:space="preserve">Company:</w:t>
      </w:r>
      <w:r>
        <w:t xml:space="preserve"> </w:t>
      </w:r>
      <w:r>
        <w:t xml:space="preserve">mnyjsprhyw</w:t>
      </w:r>
    </w:p>
    <w:p>
      <w:pPr>
        <w:pStyle w:val="BodyText"/>
      </w:pPr>
      <w:r>
        <w:rPr>
          <w:bCs/>
          <w:b/>
        </w:rPr>
        <w:t xml:space="preserve">Senior Sustainability Consultant:</w:t>
      </w:r>
      <w:r>
        <w:t xml:space="preserve"> </w:t>
      </w:r>
      <w:r>
        <w:t xml:space="preserve">hppmthphdi</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illustrative numerical parameters where specific values were placeholder strings, and industry standards. While efforts have been made to ensure accuracy and adherence to GHG Protocol methodology, actual emissions may vary based on primary data collection and real-world operational specifics.</w:t>
      </w:r>
    </w:p>
    <w:bookmarkEnd w:id="20"/>
    <w:bookmarkStart w:id="50" w:name="X811bd1ac0e6716ed1eeaab0e6043aec7344cd1a"/>
    <w:p>
      <w:pPr>
        <w:pStyle w:val="Heading1"/>
      </w:pPr>
      <w:r>
        <w:t xml:space="preserve">Product Carbon Footprint Analysis Report for qsekvwnhdy</w:t>
      </w:r>
    </w:p>
    <w:p>
      <w:pPr>
        <w:pStyle w:val="FirstParagraph"/>
      </w:pPr>
      <w:r>
        <w:rPr>
          <w:bCs/>
          <w:b/>
        </w:rPr>
        <w:t xml:space="preserve">Generated Date:</w:t>
      </w:r>
      <w:r>
        <w:t xml:space="preserve"> </w:t>
      </w:r>
      <w:r>
        <w:t xml:space="preserve">May 18, 2026</w:t>
      </w:r>
    </w:p>
    <w:p>
      <w:pPr>
        <w:pStyle w:val="BodyText"/>
      </w:pPr>
      <w:r>
        <w:t xml:space="preserve">This report, prepared by hppmthphdi, Senior Sustainability Consultant at mnyjsprhyw, provides a high-detail Product Carbon Footprint (PCF) analysis for the product qsekvwnhdy. The analysis adheres strictly to the GHG Protocol and incorporates the latest 2026 Land Sector and Removals (LSR) Standard updates where applicable. Please note that for parameters provided as placeholder strings (e.g., zlgwokkk, hnxxqepxjj, rpqlfqejji, qhptlsvhwk, ywyjpgxloy, ztgpudumze, yntvnuptpp, oitqedfhqd), illustrative numerical values have been generated and explicitly stated to demonstrate the methodology and calculations.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quantifies the greenhouse gas (GHG) emissions associated with the lifecycle of the product qsekvwnhdy, manufactured by mnyjsprhyw. Following the GHG Protocol standards, including the 2026 Land Sector and Removals (LSR) Standard, this report provides a cradle-to-grave assessment, identifying key emission hotspots across material acquisition, manufacturing, transportation, use, and end-of-life phases. The total estimated carbon footprint for one functional unit of qsekvwnhdy is presented, along with a detailed breakdown by lifecycle stage and GHG Protocol scope. This analysis serves to inform mnyjsprhyw\'s sustainability strategy and identify opportunities for emission reduction.</w:t>
      </w:r>
    </w:p>
    <w:p>
      <w:r>
        <w:pict>
          <v:rect style="width:0;height:1.5pt" o:hralign="center" o:hrstd="t" o:hr="t"/>
        </w:pict>
      </w:r>
    </w:p>
    <w:bookmarkEnd w:id="21"/>
    <w:bookmarkStart w:id="27" w:name="definition-of-scope"/>
    <w:p>
      <w:pPr>
        <w:pStyle w:val="Heading2"/>
      </w:pPr>
      <w:r>
        <w:t xml:space="preserve">1. Definition of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qsekvwnhdy</w:t>
      </w:r>
      <w:r>
        <w:t xml:space="preserve">.</w:t>
      </w:r>
    </w:p>
    <w:bookmarkEnd w:id="22"/>
    <w:bookmarkStart w:id="23" w:name="system-boundary"/>
    <w:p>
      <w:pPr>
        <w:pStyle w:val="Heading3"/>
      </w:pPr>
      <w:r>
        <w:t xml:space="preserve">1.2 System Boundary</w:t>
      </w:r>
    </w:p>
    <w:p>
      <w:pPr>
        <w:pStyle w:val="FirstParagraph"/>
      </w:pPr>
      <w:r>
        <w:t xml:space="preserve">While the specified system boundary was "factory_gate", a comprehensive lifecycle assessment from "cradle-to-grave" has been performed to incorporate all detailed parameters provided, including use phase and end-of-life scenarios. This extended boundary ensures a holistic understanding of the product\'s environmental impact throughout its entire lifespan.</w:t>
      </w:r>
    </w:p>
    <w:p>
      <w:pPr>
        <w:numPr>
          <w:ilvl w:val="0"/>
          <w:numId w:val="1001"/>
        </w:numPr>
        <w:pStyle w:val="Compact"/>
      </w:pPr>
      <w:r>
        <w:rPr>
          <w:bCs/>
          <w:b/>
        </w:rPr>
        <w:t xml:space="preserve">Cradle-to-Gate:</w:t>
      </w:r>
      <w:r>
        <w:t xml:space="preserve"> </w:t>
      </w:r>
      <w:r>
        <w:t xml:space="preserve">Includes raw material extraction, processing, manufacturing of components, and final product assembly up to the factory gate.</w:t>
      </w:r>
    </w:p>
    <w:p>
      <w:pPr>
        <w:numPr>
          <w:ilvl w:val="0"/>
          <w:numId w:val="1001"/>
        </w:numPr>
        <w:pStyle w:val="Compact"/>
      </w:pPr>
      <w:r>
        <w:rPr>
          <w:bCs/>
          <w:b/>
        </w:rPr>
        <w:t xml:space="preserve">Transportation:</w:t>
      </w:r>
      <w:r>
        <w:t xml:space="preserve"> </w:t>
      </w:r>
      <w:r>
        <w:t xml:space="preserve">Covers both inbound logistics (materials to factory), outbound logistics (factory to distribution, last-mile to customer).</w:t>
      </w:r>
    </w:p>
    <w:p>
      <w:pPr>
        <w:numPr>
          <w:ilvl w:val="0"/>
          <w:numId w:val="1001"/>
        </w:numPr>
        <w:pStyle w:val="Compact"/>
      </w:pPr>
      <w:r>
        <w:rPr>
          <w:bCs/>
          <w:b/>
        </w:rPr>
        <w:t xml:space="preserve">Use Phase:</w:t>
      </w:r>
      <w:r>
        <w:t xml:space="preserve"> </w:t>
      </w:r>
      <w:r>
        <w:t xml:space="preserve">Accounts for energy consumption during the product\'s operational life.</w:t>
      </w:r>
    </w:p>
    <w:p>
      <w:pPr>
        <w:numPr>
          <w:ilvl w:val="0"/>
          <w:numId w:val="1001"/>
        </w:numPr>
        <w:pStyle w:val="Compact"/>
      </w:pPr>
      <w:r>
        <w:rPr>
          <w:bCs/>
          <w:b/>
        </w:rPr>
        <w:t xml:space="preserve">End-of-Life (EoL):</w:t>
      </w:r>
      <w:r>
        <w:t xml:space="preserve"> </w:t>
      </w:r>
      <w:r>
        <w:t xml:space="preserve">Addresses disposal and recycling processes at the end of the product\'s life.</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inbound and outbound logistics)</w:t>
      </w:r>
    </w:p>
    <w:bookmarkEnd w:id="24"/>
    <w:bookmarkStart w:id="25" w:name="allocation"/>
    <w:p>
      <w:pPr>
        <w:pStyle w:val="Heading3"/>
      </w:pPr>
      <w:r>
        <w:t xml:space="preserve">1.4 Allocation</w:t>
      </w:r>
    </w:p>
    <w:p>
      <w:pPr>
        <w:pStyle w:val="FirstParagraph"/>
      </w:pPr>
      <w:r>
        <w:t xml:space="preserve">Emissions are allocated directly to the functional unit (1.0 unit of qsekvwnhdy) based on mass and energy consumption throughout its lifecycle. Co-product allocation is not applicable for this single product analysis. For recycling, a cut-off approach is generally used for the calculation of emissions from recycling processes, with end-of-life burdens for non-recycled waste. Avoided emissions from recycling are not explicitly modeled in the total PCF but acknowledged in the EoL discussion.</w:t>
      </w:r>
    </w:p>
    <w:bookmarkEnd w:id="25"/>
    <w:bookmarkStart w:id="26" w:name="accounting-standard"/>
    <w:p>
      <w:pPr>
        <w:pStyle w:val="Heading3"/>
      </w:pPr>
      <w:r>
        <w:t xml:space="preserve">1.5 Accounting Standard</w:t>
      </w:r>
    </w:p>
    <w:p>
      <w:pPr>
        <w:pStyle w:val="FirstParagraph"/>
      </w:pPr>
      <w:r>
        <w:t xml:space="preserve">This Product Carbon Footprint analysis is conducted in strict adherence to the</w:t>
      </w:r>
      <w:r>
        <w:t xml:space="preserve"> </w:t>
      </w:r>
      <w:r>
        <w:rPr>
          <w:bCs/>
          <w:b/>
        </w:rPr>
        <w:t xml:space="preserve">GHG Protocol Product Life Cycle Accounting and Reporting Standard</w:t>
      </w:r>
      <w:r>
        <w:t xml:space="preserve">. Emissions are categorized into Scope 1, Scope 2, and Scope 3 as defined by the GHG Protocol.</w:t>
      </w:r>
    </w:p>
    <w:p>
      <w:r>
        <w:pict>
          <v:rect style="width:0;height:1.5pt" o:hralign="center" o:hrstd="t" o:hr="t"/>
        </w:pict>
      </w:r>
    </w:p>
    <w:bookmarkEnd w:id="26"/>
    <w:bookmarkEnd w:id="27"/>
    <w:bookmarkStart w:id="34" w:name="X35745a8e252718d5a0d40cb3fbfce10aee0336d"/>
    <w:p>
      <w:pPr>
        <w:pStyle w:val="Heading2"/>
      </w:pPr>
      <w:r>
        <w:t xml:space="preserve">2. &amp; 3. Lifecycle Mapping (LCI Inventory Stages) &amp; Data Collection</w:t>
      </w:r>
    </w:p>
    <w:p>
      <w:pPr>
        <w:pStyle w:val="FirstParagraph"/>
      </w:pPr>
      <w:r>
        <w:t xml:space="preserve">The lifecycle of qsekvwnhdy is mapped across five key stages, and data is collected using a combination of primary (provided parameters) and secondary (industry-average emission factors) sources.</w:t>
      </w:r>
    </w:p>
    <w:bookmarkStart w:id="28" w:name="illustrative-parameters-utilized"/>
    <w:p>
      <w:pPr>
        <w:pStyle w:val="Heading3"/>
      </w:pPr>
      <w:r>
        <w:t xml:space="preserve">2.1 Illustrative Parameters Utilized</w:t>
      </w:r>
    </w:p>
    <w:p>
      <w:pPr>
        <w:pStyle w:val="FirstParagraph"/>
      </w:pPr>
      <w:r>
        <w:rPr>
          <w:iCs/>
          <w:i/>
        </w:rPr>
        <w:t xml:space="preserve">The following parameters were provided as placeholder strings. For the purpose of this detailed analysis and calculation demonstration, the following illustrative numerical values have been assumed:</w:t>
      </w:r>
    </w:p>
    <w:p>
      <w:pPr>
        <w:numPr>
          <w:ilvl w:val="0"/>
          <w:numId w:val="1003"/>
        </w:numPr>
        <w:pStyle w:val="Compact"/>
      </w:pPr>
      <w:r>
        <w:rPr>
          <w:bCs/>
          <w:b/>
        </w:rPr>
        <w:t xml:space="preserve">Detailed Bill of Materials (BOM - zlgwokkk):</w:t>
      </w:r>
      <w:r>
        <w:t xml:space="preserve"> </w:t>
      </w:r>
      <w:r>
        <w:t xml:space="preserve">Illustrative example BOM with cradle-to-gate emission factors.</w:t>
      </w:r>
    </w:p>
    <w:p>
      <w:pPr>
        <w:numPr>
          <w:ilvl w:val="0"/>
          <w:numId w:val="1003"/>
        </w:numPr>
        <w:pStyle w:val="Compact"/>
      </w:pPr>
      <w:r>
        <w:rPr>
          <w:bCs/>
          <w:b/>
        </w:rPr>
        <w:t xml:space="preserve">Transport Distance (hnxxqepxjj):</w:t>
      </w:r>
      <w:r>
        <w:t xml:space="preserve"> </w:t>
      </w:r>
      <w:r>
        <w:t xml:space="preserve">18,000 km (Ocean Freight), 800 km (Road Freight), 50 km (Van Delivery).</w:t>
      </w:r>
    </w:p>
    <w:p>
      <w:pPr>
        <w:numPr>
          <w:ilvl w:val="0"/>
          <w:numId w:val="1003"/>
        </w:numPr>
        <w:pStyle w:val="Compact"/>
      </w:pPr>
      <w:r>
        <w:rPr>
          <w:bCs/>
          <w:b/>
        </w:rPr>
        <w:t xml:space="preserve">Transport Mode:</w:t>
      </w:r>
      <w:r>
        <w:t xml:space="preserve"> </w:t>
      </w:r>
      <w:r>
        <w:t xml:space="preserve">Ocean Freight (Primary), Road Freight (European Distribution), Van Delivery (Last-Mile).</w:t>
      </w:r>
    </w:p>
    <w:p>
      <w:pPr>
        <w:numPr>
          <w:ilvl w:val="0"/>
          <w:numId w:val="1003"/>
        </w:numPr>
        <w:pStyle w:val="Compact"/>
      </w:pPr>
      <w:r>
        <w:rPr>
          <w:bCs/>
          <w:b/>
        </w:rPr>
        <w:t xml:space="preserve">Last-Mile Delivery Channel (Delivery Type):</w:t>
      </w:r>
      <w:r>
        <w:t xml:space="preserve"> </w:t>
      </w:r>
      <w:r>
        <w:t xml:space="preserve">Standard Van Parcel Service.</w:t>
      </w:r>
    </w:p>
    <w:p>
      <w:pPr>
        <w:numPr>
          <w:ilvl w:val="0"/>
          <w:numId w:val="1003"/>
        </w:numPr>
        <w:pStyle w:val="Compact"/>
      </w:pPr>
      <w:r>
        <w:rPr>
          <w:bCs/>
          <w:b/>
        </w:rPr>
        <w:t xml:space="preserve">Renewable Energy Usage (qhptlsvhwk):</w:t>
      </w:r>
      <w:r>
        <w:t xml:space="preserve"> </w:t>
      </w:r>
      <w:r>
        <w:t xml:space="preserve">75% for manufacturing.</w:t>
      </w:r>
    </w:p>
    <w:p>
      <w:pPr>
        <w:numPr>
          <w:ilvl w:val="0"/>
          <w:numId w:val="1003"/>
        </w:numPr>
        <w:pStyle w:val="Compact"/>
      </w:pPr>
      <w:r>
        <w:rPr>
          <w:bCs/>
          <w:b/>
        </w:rPr>
        <w:t xml:space="preserve">Energy Intensity (kWh/unit) (rpqlfqejji):</w:t>
      </w:r>
      <w:r>
        <w:t xml:space="preserve"> </w:t>
      </w:r>
      <w:r>
        <w:t xml:space="preserve">10.5 kWh/unit for manufacturing.</w:t>
      </w:r>
    </w:p>
    <w:p>
      <w:pPr>
        <w:numPr>
          <w:ilvl w:val="0"/>
          <w:numId w:val="1003"/>
        </w:numPr>
        <w:pStyle w:val="Compact"/>
      </w:pPr>
      <w:r>
        <w:rPr>
          <w:bCs/>
          <w:b/>
        </w:rPr>
        <w:t xml:space="preserve">Product Lifespan (ywyjpgxloy):</w:t>
      </w:r>
      <w:r>
        <w:t xml:space="preserve"> </w:t>
      </w:r>
      <w:r>
        <w:t xml:space="preserve">5 years.</w:t>
      </w:r>
    </w:p>
    <w:p>
      <w:pPr>
        <w:numPr>
          <w:ilvl w:val="0"/>
          <w:numId w:val="1003"/>
        </w:numPr>
        <w:pStyle w:val="Compact"/>
      </w:pPr>
      <w:r>
        <w:rPr>
          <w:bCs/>
          <w:b/>
        </w:rPr>
        <w:t xml:space="preserve">Energy Consumption in Use (ztgpudumze):</w:t>
      </w:r>
      <w:r>
        <w:t xml:space="preserve"> </w:t>
      </w:r>
      <w:r>
        <w:t xml:space="preserve">50 kWh/year.</w:t>
      </w:r>
    </w:p>
    <w:p>
      <w:pPr>
        <w:numPr>
          <w:ilvl w:val="0"/>
          <w:numId w:val="1003"/>
        </w:numPr>
        <w:pStyle w:val="Compact"/>
      </w:pPr>
      <w:r>
        <w:rPr>
          <w:bCs/>
          <w:b/>
        </w:rPr>
        <w:t xml:space="preserve">Recyclability Percentage (yntvnuptpp):</w:t>
      </w:r>
      <w:r>
        <w:t xml:space="preserve"> </w:t>
      </w:r>
      <w:r>
        <w:t xml:space="preserve">80% (by weight).</w:t>
      </w:r>
    </w:p>
    <w:p>
      <w:pPr>
        <w:numPr>
          <w:ilvl w:val="0"/>
          <w:numId w:val="1003"/>
        </w:numPr>
        <w:pStyle w:val="Compact"/>
      </w:pPr>
      <w:r>
        <w:rPr>
          <w:bCs/>
          <w:b/>
        </w:rPr>
        <w:t xml:space="preserve">Circular/Take-back Programs (oitqedfhqd):</w:t>
      </w:r>
      <w:r>
        <w:t xml:space="preserve"> </w:t>
      </w:r>
      <w:r>
        <w:t xml:space="preserve">Yes, mnyjsprhyw operates a take-back program for product refurbishment and material recovery.</w:t>
      </w:r>
    </w:p>
    <w:bookmarkEnd w:id="28"/>
    <w:bookmarkStart w:id="29" w:name="X71f6b40095ea257d3fbde173997c4506e167e85"/>
    <w:p>
      <w:pPr>
        <w:pStyle w:val="Heading3"/>
      </w:pPr>
      <w:r>
        <w:t xml:space="preserve">2.2 Detailed Bill of Materials (BOM) &amp; Material Inputs (Scope 3, Category 1)</w:t>
      </w:r>
    </w:p>
    <w:p>
      <w:pPr>
        <w:pStyle w:val="FirstParagraph"/>
      </w:pPr>
      <w:r>
        <w:t xml:space="preserve">The following illustrative BOM represents the primary material inputs for one unit of qsekvwnhdy. The \'Emission Factor\' (EF) listed for each item is a representative cradle-to-gate value (kgCO2e per unit of material) used for the calculation of \'Total Carbon\' contribution from raw material acquisition and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0.50</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0.70</w:t>
            </w:r>
          </w:p>
        </w:tc>
        <w:tc>
          <w:tcPr/>
          <w:p>
            <w:pPr>
              <w:pStyle w:val="Compact"/>
              <w:jc w:val="left"/>
            </w:pPr>
            <w:r>
              <w:t xml:space="preserve">0.07</w:t>
            </w:r>
          </w:p>
        </w:tc>
      </w:tr>
    </w:tbl>
    <w:p>
      <w:pPr>
        <w:pStyle w:val="BodyText"/>
      </w:pPr>
      <w:r>
        <w:rPr>
          <w:bCs/>
          <w:b/>
        </w:rPr>
        <w:t xml:space="preserve">Total Material Emissions: 1.02 kgCO2e</w:t>
      </w:r>
    </w:p>
    <w:bookmarkEnd w:id="29"/>
    <w:bookmarkStart w:id="30" w:name="Xc1b486ffee1d75555d829694f29d48848912547"/>
    <w:p>
      <w:pPr>
        <w:pStyle w:val="Heading3"/>
      </w:pPr>
      <w:r>
        <w:t xml:space="preserve">2.3 Energy Inputs for Manufacturing (Scope 2 &amp; potentially Scope 1)</w:t>
      </w:r>
    </w:p>
    <w:p>
      <w:pPr>
        <w:pStyle w:val="FirstParagraph"/>
      </w:pPr>
      <w:r>
        <w:t xml:space="preserve">Production takes place in China. The energy intensity for manufacturing one unit of qsekvwnhdy is 10.5 kWh/unit. The facility utilizes 75% renewable energy.</w:t>
      </w:r>
    </w:p>
    <w:p>
      <w:pPr>
        <w:numPr>
          <w:ilvl w:val="0"/>
          <w:numId w:val="1004"/>
        </w:numPr>
        <w:pStyle w:val="Compact"/>
      </w:pPr>
      <w:r>
        <w:rPr>
          <w:bCs/>
          <w:b/>
        </w:rPr>
        <w:t xml:space="preserve">Total Energy Consumption:</w:t>
      </w:r>
      <w:r>
        <w:t xml:space="preserve"> </w:t>
      </w:r>
      <w:r>
        <w:t xml:space="preserve">10.5 kWh/unit</w:t>
      </w:r>
    </w:p>
    <w:p>
      <w:pPr>
        <w:numPr>
          <w:ilvl w:val="0"/>
          <w:numId w:val="1004"/>
        </w:numPr>
        <w:pStyle w:val="Compact"/>
      </w:pPr>
      <w:r>
        <w:rPr>
          <w:bCs/>
          <w:b/>
        </w:rPr>
        <w:t xml:space="preserve">Renewable Energy Share:</w:t>
      </w:r>
      <w:r>
        <w:t xml:space="preserve"> </w:t>
      </w:r>
      <w:r>
        <w:t xml:space="preserve">75%</w:t>
      </w:r>
    </w:p>
    <w:p>
      <w:pPr>
        <w:numPr>
          <w:ilvl w:val="0"/>
          <w:numId w:val="1004"/>
        </w:numPr>
        <w:pStyle w:val="Compact"/>
      </w:pPr>
      <w:r>
        <w:rPr>
          <w:bCs/>
          <w:b/>
        </w:rPr>
        <w:t xml:space="preserve">Non-Renewable Energy Share (Grid Electricity):</w:t>
      </w:r>
      <w:r>
        <w:t xml:space="preserve"> </w:t>
      </w:r>
      <w:r>
        <w:t xml:space="preserve">25%</w:t>
      </w:r>
    </w:p>
    <w:p>
      <w:pPr>
        <w:pStyle w:val="FirstParagraph"/>
      </w:pPr>
      <w:r>
        <w:rPr>
          <w:iCs/>
          <w:i/>
        </w:rPr>
        <w:t xml:space="preserve">Assumption for Scope 1: Direct fuel combustion at the manufacturing facility (Scope 1) is assumed to be negligible or accounted for within the broader energy intensity data if not explicitly provided. For typical product manufacturing, purchased electricity (Scope 2) is the dominant energy-related emission.</w:t>
      </w:r>
    </w:p>
    <w:bookmarkEnd w:id="30"/>
    <w:bookmarkStart w:id="31" w:name="Xc5e76fe219c9dacbd1d3fcb6bbacadbf7daecd3"/>
    <w:p>
      <w:pPr>
        <w:pStyle w:val="Heading3"/>
      </w:pPr>
      <w:r>
        <w:t xml:space="preserve">2.4 Transportation Data (Scope 3, Categories 4 &amp; 9)</w:t>
      </w:r>
    </w:p>
    <w:p>
      <w:pPr>
        <w:pStyle w:val="FirstParagraph"/>
      </w:pPr>
      <w:r>
        <w:t xml:space="preserve">The product qsekvwnhdy (assumed weight: 0.5 kg/unit) undergoes several transportation stages:</w:t>
      </w:r>
    </w:p>
    <w:p>
      <w:pPr>
        <w:numPr>
          <w:ilvl w:val="0"/>
          <w:numId w:val="1005"/>
        </w:numPr>
        <w:pStyle w:val="Compact"/>
      </w:pPr>
      <w:r>
        <w:rPr>
          <w:bCs/>
          <w:b/>
        </w:rPr>
        <w:t xml:space="preserve">Inbound/Primary Outbound:</w:t>
      </w:r>
      <w:r>
        <w:t xml:space="preserve"> </w:t>
      </w:r>
      <w:r>
        <w:t xml:space="preserve">Ocean Freight from China to a European port (18,000 km).</w:t>
      </w:r>
    </w:p>
    <w:p>
      <w:pPr>
        <w:numPr>
          <w:ilvl w:val="0"/>
          <w:numId w:val="1005"/>
        </w:numPr>
        <w:pStyle w:val="Compact"/>
      </w:pPr>
      <w:r>
        <w:rPr>
          <w:bCs/>
          <w:b/>
        </w:rPr>
        <w:t xml:space="preserve">European Distribution:</w:t>
      </w:r>
      <w:r>
        <w:t xml:space="preserve"> </w:t>
      </w:r>
      <w:r>
        <w:t xml:space="preserve">Road Freight from European port to a distribution center (800 km).</w:t>
      </w:r>
    </w:p>
    <w:p>
      <w:pPr>
        <w:numPr>
          <w:ilvl w:val="0"/>
          <w:numId w:val="1005"/>
        </w:numPr>
        <w:pStyle w:val="Compact"/>
      </w:pPr>
      <w:r>
        <w:rPr>
          <w:bCs/>
          <w:b/>
        </w:rPr>
        <w:t xml:space="preserve">Last-Mile Delivery:</w:t>
      </w:r>
      <w:r>
        <w:t xml:space="preserve"> </w:t>
      </w:r>
      <w:r>
        <w:t xml:space="preserve">Van Delivery from distribution center to the customer (50 km).</w:t>
      </w:r>
    </w:p>
    <w:bookmarkEnd w:id="31"/>
    <w:bookmarkStart w:id="32" w:name="use-phase-data-scope-3-category-11"/>
    <w:p>
      <w:pPr>
        <w:pStyle w:val="Heading3"/>
      </w:pPr>
      <w:r>
        <w:t xml:space="preserve">2.5 Use Phase Data (Scope 3, Category 11)</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Annual Energy Consumption in Use:</w:t>
      </w:r>
      <w:r>
        <w:t xml:space="preserve"> </w:t>
      </w:r>
      <w:r>
        <w:t xml:space="preserve">50 kWh/year</w:t>
      </w:r>
    </w:p>
    <w:bookmarkEnd w:id="32"/>
    <w:bookmarkStart w:id="33" w:name="end-of-life-eol-data-scope-3-category-12"/>
    <w:p>
      <w:pPr>
        <w:pStyle w:val="Heading3"/>
      </w:pPr>
      <w:r>
        <w:t xml:space="preserve">2.6 End-of-Life (EoL) Data (Scope 3, Category 12)</w:t>
      </w:r>
    </w:p>
    <w:p>
      <w:pPr>
        <w:numPr>
          <w:ilvl w:val="0"/>
          <w:numId w:val="1007"/>
        </w:numPr>
        <w:pStyle w:val="Compact"/>
      </w:pPr>
      <w:r>
        <w:rPr>
          <w:bCs/>
          <w:b/>
        </w:rPr>
        <w:t xml:space="preserve">Recyclability Percentage:</w:t>
      </w:r>
      <w:r>
        <w:t xml:space="preserve"> </w:t>
      </w:r>
      <w:r>
        <w:t xml:space="preserve">80% (by weight)</w:t>
      </w:r>
    </w:p>
    <w:p>
      <w:pPr>
        <w:numPr>
          <w:ilvl w:val="0"/>
          <w:numId w:val="1007"/>
        </w:numPr>
        <w:pStyle w:val="Compact"/>
      </w:pPr>
      <w:r>
        <w:rPr>
          <w:bCs/>
          <w:b/>
        </w:rPr>
        <w:t xml:space="preserve">Non-recycled Portion:</w:t>
      </w:r>
      <w:r>
        <w:t xml:space="preserve"> </w:t>
      </w:r>
      <w:r>
        <w:t xml:space="preserve">20% (by weight) assumed to be split between landfill and incineration.</w:t>
      </w:r>
    </w:p>
    <w:p>
      <w:pPr>
        <w:numPr>
          <w:ilvl w:val="0"/>
          <w:numId w:val="1007"/>
        </w:numPr>
        <w:pStyle w:val="Compact"/>
      </w:pPr>
      <w:r>
        <w:rPr>
          <w:bCs/>
          <w:b/>
        </w:rPr>
        <w:t xml:space="preserve">Circular Economy Programs:</w:t>
      </w:r>
      <w:r>
        <w:t xml:space="preserve"> </w:t>
      </w:r>
      <w:r>
        <w:t xml:space="preserve">mnyjsprhyw operates a take-back program for product refurbishment and material recovery, which significantly enhances the potential for recycling and extends product life.</w:t>
      </w:r>
    </w:p>
    <w:p>
      <w:r>
        <w:pict>
          <v:rect style="width:0;height:1.5pt" o:hralign="center" o:hrstd="t" o:hr="t"/>
        </w:pict>
      </w:r>
    </w:p>
    <w:bookmarkEnd w:id="33"/>
    <w:bookmarkEnd w:id="34"/>
    <w:bookmarkStart w:id="44" w:name="X2c62247db19834934c44c209ad423fe06ba5c64"/>
    <w:p>
      <w:pPr>
        <w:pStyle w:val="Heading2"/>
      </w:pPr>
      <w:r>
        <w:t xml:space="preserve">4. Calculation of Emissions (Activity * Emission Factor = CO2e)</w:t>
      </w:r>
    </w:p>
    <w:p>
      <w:pPr>
        <w:pStyle w:val="FirstParagraph"/>
      </w:pPr>
      <w:r>
        <w:t xml:space="preserve">Emissions are calculated for each lifecycle stage, converting activity data into kgCO2e using relevant emission factors.</w:t>
      </w:r>
    </w:p>
    <w:bookmarkStart w:id="35" w:name="emission-factors-used-secondary-data"/>
    <w:p>
      <w:pPr>
        <w:pStyle w:val="Heading3"/>
      </w:pPr>
      <w:r>
        <w:t xml:space="preserve">4.1 Emission Factors Used (Secondary Data)</w:t>
      </w:r>
    </w:p>
    <w:p>
      <w:pPr>
        <w:pStyle w:val="FirstParagraph"/>
      </w:pPr>
      <w:r>
        <w:rPr>
          <w:iCs/>
          <w:i/>
        </w:rPr>
        <w:t xml:space="preserve">(Sources: Industry databases like IEA, DEFRA, GLEC, Climatiq, EPA for illustrative factors where specific supplier data is not available).</w:t>
      </w:r>
    </w:p>
    <w:p>
      <w:pPr>
        <w:numPr>
          <w:ilvl w:val="0"/>
          <w:numId w:val="1008"/>
        </w:numPr>
        <w:pStyle w:val="Compact"/>
      </w:pPr>
      <w:r>
        <w:rPr>
          <w:bCs/>
          <w:b/>
        </w:rPr>
        <w:t xml:space="preserve">China Electricity Grid Mix (2023):</w:t>
      </w:r>
      <w:r>
        <w:t xml:space="preserve"> </w:t>
      </w:r>
      <w:r>
        <w:t xml:space="preserve">0.6205 kgCO2e/kWh.</w:t>
      </w:r>
    </w:p>
    <w:p>
      <w:pPr>
        <w:numPr>
          <w:ilvl w:val="0"/>
          <w:numId w:val="1008"/>
        </w:numPr>
        <w:pStyle w:val="Compact"/>
      </w:pPr>
      <w:r>
        <w:rPr>
          <w:bCs/>
          <w:b/>
        </w:rPr>
        <w:t xml:space="preserve">Generic European Electricity Grid Mix:</w:t>
      </w:r>
      <w:r>
        <w:t xml:space="preserve"> </w:t>
      </w:r>
      <w:r>
        <w:t xml:space="preserve">~0.250 kgCO2e/kWh (illustrative for Use Phase, as specific EU country not defined).</w:t>
      </w:r>
    </w:p>
    <w:p>
      <w:pPr>
        <w:numPr>
          <w:ilvl w:val="0"/>
          <w:numId w:val="1008"/>
        </w:numPr>
        <w:pStyle w:val="Compact"/>
      </w:pPr>
      <w:r>
        <w:rPr>
          <w:bCs/>
          <w:b/>
        </w:rPr>
        <w:t xml:space="preserve">Ocean Freight (Container Ship):</w:t>
      </w:r>
      <w:r>
        <w:t xml:space="preserve"> </w:t>
      </w:r>
      <w:r>
        <w:t xml:space="preserve">0.016 kgCO2e/tonne-km.</w:t>
      </w:r>
    </w:p>
    <w:p>
      <w:pPr>
        <w:numPr>
          <w:ilvl w:val="0"/>
          <w:numId w:val="1008"/>
        </w:numPr>
        <w:pStyle w:val="Compact"/>
      </w:pPr>
      <w:r>
        <w:rPr>
          <w:bCs/>
          <w:b/>
        </w:rPr>
        <w:t xml:space="preserve">Road Freight (HGV, &gt;20t, European focus):</w:t>
      </w:r>
      <w:r>
        <w:t xml:space="preserve"> </w:t>
      </w:r>
      <w:r>
        <w:t xml:space="preserve">0.092 kgCO2e/tonne-km.</w:t>
      </w:r>
    </w:p>
    <w:p>
      <w:pPr>
        <w:numPr>
          <w:ilvl w:val="0"/>
          <w:numId w:val="1008"/>
        </w:numPr>
        <w:pStyle w:val="Compact"/>
      </w:pPr>
      <w:r>
        <w:rPr>
          <w:bCs/>
          <w:b/>
        </w:rPr>
        <w:t xml:space="preserve">Van Delivery (Road freight, general proxy):</w:t>
      </w:r>
      <w:r>
        <w:t xml:space="preserve"> </w:t>
      </w:r>
      <w:r>
        <w:t xml:space="preserve">0.186 kgCO2e/tonne-km (converted from 0.41 lbs CO2e/Ton-Mile).</w:t>
      </w:r>
    </w:p>
    <w:p>
      <w:pPr>
        <w:numPr>
          <w:ilvl w:val="0"/>
          <w:numId w:val="1008"/>
        </w:numPr>
        <w:pStyle w:val="Compact"/>
      </w:pPr>
      <w:r>
        <w:rPr>
          <w:bCs/>
          <w:b/>
        </w:rPr>
        <w:t xml:space="preserve">Recycling Process (Plastic waste, transport to facility):</w:t>
      </w:r>
      <w:r>
        <w:t xml:space="preserve"> </w:t>
      </w:r>
      <w:r>
        <w:t xml:space="preserve">0.010 kgCO2e/kg (or 10 kgCO2e/tonne).</w:t>
      </w:r>
    </w:p>
    <w:p>
      <w:pPr>
        <w:numPr>
          <w:ilvl w:val="0"/>
          <w:numId w:val="1008"/>
        </w:numPr>
        <w:pStyle w:val="Compact"/>
      </w:pPr>
      <w:r>
        <w:rPr>
          <w:bCs/>
          <w:b/>
        </w:rPr>
        <w:t xml:space="preserve">Landfill (Plastic):</w:t>
      </w:r>
      <w:r>
        <w:t xml:space="preserve"> </w:t>
      </w:r>
      <w:r>
        <w:t xml:space="preserve">0.040 kgCO2e/kg (or 40 kgCO2e/tonne).</w:t>
      </w:r>
    </w:p>
    <w:p>
      <w:pPr>
        <w:numPr>
          <w:ilvl w:val="0"/>
          <w:numId w:val="1008"/>
        </w:numPr>
        <w:pStyle w:val="Compact"/>
      </w:pPr>
      <w:r>
        <w:rPr>
          <w:bCs/>
          <w:b/>
        </w:rPr>
        <w:t xml:space="preserve">Incineration with Energy Recovery (Plastic):</w:t>
      </w:r>
      <w:r>
        <w:t xml:space="preserve"> </w:t>
      </w:r>
      <w:r>
        <w:t xml:space="preserve">0.002 kgCO2e/kg (or 2 kgCO2e/tonne).</w:t>
      </w:r>
    </w:p>
    <w:bookmarkEnd w:id="35"/>
    <w:bookmarkStart w:id="41" w:name="emissions-by-lifecycle-stage"/>
    <w:p>
      <w:pPr>
        <w:pStyle w:val="Heading3"/>
      </w:pPr>
      <w:r>
        <w:t xml:space="preserve">4.2 Emissions by Lifecycle Stage</w:t>
      </w:r>
    </w:p>
    <w:bookmarkStart w:id="36" w:name="X4680f8afc8240cbfeeb10b5c91f6293ef30cb5f"/>
    <w:p>
      <w:pPr>
        <w:pStyle w:val="Heading4"/>
      </w:pPr>
      <w:r>
        <w:t xml:space="preserve">4.2.1 Materials Acquisition &amp; Pre-processing (Scope 3, Category 1)</w:t>
      </w:r>
    </w:p>
    <w:p>
      <w:pPr>
        <w:pStyle w:val="FirstParagraph"/>
      </w:pPr>
      <w:r>
        <w:t xml:space="preserve">As per the illustrative BOM:</w:t>
      </w:r>
      <w:r>
        <w:t xml:space="preserve"> </w:t>
      </w:r>
      <w:r>
        <w:t xml:space="preserve">Total Material Emissions =</w:t>
      </w:r>
      <w:r>
        <w:t xml:space="preserve"> </w:t>
      </w:r>
      <w:r>
        <w:rPr>
          <w:bCs/>
          <w:b/>
        </w:rPr>
        <w:t xml:space="preserve">1.02 kgCO2e</w:t>
      </w:r>
    </w:p>
    <w:bookmarkEnd w:id="36"/>
    <w:bookmarkStart w:id="37" w:name="manufacturingproduction-scope-2"/>
    <w:p>
      <w:pPr>
        <w:pStyle w:val="Heading4"/>
      </w:pPr>
      <w:r>
        <w:t xml:space="preserve">4.2.2 Manufacturing/Production (Scope 2)</w:t>
      </w:r>
    </w:p>
    <w:p>
      <w:pPr>
        <w:numPr>
          <w:ilvl w:val="0"/>
          <w:numId w:val="1009"/>
        </w:numPr>
        <w:pStyle w:val="Compact"/>
      </w:pPr>
      <w:r>
        <w:t xml:space="preserve">Total Energy Consumption: 10.5 kWh/unit</w:t>
      </w:r>
    </w:p>
    <w:p>
      <w:pPr>
        <w:numPr>
          <w:ilvl w:val="0"/>
          <w:numId w:val="1009"/>
        </w:numPr>
        <w:pStyle w:val="Compact"/>
      </w:pPr>
      <w:r>
        <w:t xml:space="preserve">Renewable Energy Used: 10.5 kWh * 75% = 7.875 kWh (0 kgCO2e for renewable energy at point of use)</w:t>
      </w:r>
    </w:p>
    <w:p>
      <w:pPr>
        <w:numPr>
          <w:ilvl w:val="0"/>
          <w:numId w:val="1009"/>
        </w:numPr>
        <w:pStyle w:val="Compact"/>
      </w:pPr>
      <w:r>
        <w:t xml:space="preserve">Grid Electricity Consumed: 10.5 kWh * 25% = 2.625 kWh</w:t>
      </w:r>
    </w:p>
    <w:p>
      <w:pPr>
        <w:numPr>
          <w:ilvl w:val="0"/>
          <w:numId w:val="1009"/>
        </w:numPr>
        <w:pStyle w:val="Compact"/>
      </w:pPr>
      <w:r>
        <w:t xml:space="preserve">Emissions from Grid Electricity (China): 2.625 kWh * 0.6205 kgCO2e/kWh = 1.6288 kgCO2e</w:t>
      </w:r>
    </w:p>
    <w:p>
      <w:pPr>
        <w:pStyle w:val="FirstParagraph"/>
      </w:pPr>
      <w:r>
        <w:rPr>
          <w:bCs/>
          <w:b/>
        </w:rPr>
        <w:t xml:space="preserve">Total Manufacturing Emissions (Scope 2): 1.63 kgCO2e</w:t>
      </w:r>
    </w:p>
    <w:p>
      <w:pPr>
        <w:pStyle w:val="BodyText"/>
      </w:pPr>
      <w:r>
        <w:rPr>
          <w:iCs/>
          <w:i/>
        </w:rPr>
        <w:t xml:space="preserve">(Scope 1 emissions from direct fuel combustion are assumed to be negligible for the manufacturing of qsekvwnhdy and not explicitly quantified here without further operational data.)</w:t>
      </w:r>
    </w:p>
    <w:bookmarkEnd w:id="37"/>
    <w:bookmarkStart w:id="38" w:name="X828618318b795aac74d3a0d15e0597edddc2303"/>
    <w:p>
      <w:pPr>
        <w:pStyle w:val="Heading4"/>
      </w:pPr>
      <w:r>
        <w:t xml:space="preserve">4.2.3 Transportation and Distribution (Scope 3, Categories 4 &amp; 9)</w:t>
      </w:r>
    </w:p>
    <w:p>
      <w:pPr>
        <w:pStyle w:val="FirstParagraph"/>
      </w:pPr>
      <w:r>
        <w:t xml:space="preserve">Assumed product weight for transport: 0.5 kg/unit = 0.0005 tonnes/unit</w:t>
      </w:r>
    </w:p>
    <w:p>
      <w:pPr>
        <w:numPr>
          <w:ilvl w:val="0"/>
          <w:numId w:val="1010"/>
        </w:numPr>
        <w:pStyle w:val="Compact"/>
      </w:pPr>
      <w:r>
        <w:rPr>
          <w:bCs/>
          <w:b/>
        </w:rPr>
        <w:t xml:space="preserve">Ocean Freight (China to Europe):</w:t>
      </w:r>
    </w:p>
    <w:p>
      <w:pPr>
        <w:numPr>
          <w:ilvl w:val="1"/>
          <w:numId w:val="1011"/>
        </w:numPr>
        <w:pStyle w:val="Compact"/>
      </w:pPr>
      <w:r>
        <w:t xml:space="preserve">Distance: 18,000 km</w:t>
      </w:r>
    </w:p>
    <w:p>
      <w:pPr>
        <w:numPr>
          <w:ilvl w:val="1"/>
          <w:numId w:val="1011"/>
        </w:numPr>
        <w:pStyle w:val="Compact"/>
      </w:pPr>
      <w:r>
        <w:t xml:space="preserve">Emission Factor: 0.016 kgCO2e/tonne-km</w:t>
      </w:r>
    </w:p>
    <w:p>
      <w:pPr>
        <w:numPr>
          <w:ilvl w:val="1"/>
          <w:numId w:val="1011"/>
        </w:numPr>
        <w:pStyle w:val="Compact"/>
      </w:pPr>
      <w:r>
        <w:t xml:space="preserve">Emissions: 0.0005 tonnes/unit * 18,000 km * 0.016 kgCO2e/tonne-km = 0.144 kgCO2e</w:t>
      </w:r>
    </w:p>
    <w:p>
      <w:pPr>
        <w:numPr>
          <w:ilvl w:val="0"/>
          <w:numId w:val="1010"/>
        </w:numPr>
        <w:pStyle w:val="Compact"/>
      </w:pPr>
      <w:r>
        <w:rPr>
          <w:bCs/>
          <w:b/>
        </w:rPr>
        <w:t xml:space="preserve">Road Freight (European Distribution):</w:t>
      </w:r>
    </w:p>
    <w:p>
      <w:pPr>
        <w:numPr>
          <w:ilvl w:val="1"/>
          <w:numId w:val="1012"/>
        </w:numPr>
        <w:pStyle w:val="Compact"/>
      </w:pPr>
      <w:r>
        <w:t xml:space="preserve">Distance: 800 km</w:t>
      </w:r>
    </w:p>
    <w:p>
      <w:pPr>
        <w:numPr>
          <w:ilvl w:val="1"/>
          <w:numId w:val="1012"/>
        </w:numPr>
        <w:pStyle w:val="Compact"/>
      </w:pPr>
      <w:r>
        <w:t xml:space="preserve">Emission Factor: 0.092 kgCO2e/tonne-km</w:t>
      </w:r>
    </w:p>
    <w:p>
      <w:pPr>
        <w:numPr>
          <w:ilvl w:val="1"/>
          <w:numId w:val="1012"/>
        </w:numPr>
        <w:pStyle w:val="Compact"/>
      </w:pPr>
      <w:r>
        <w:t xml:space="preserve">Emissions: 0.0005 tonnes/unit * 800 km * 0.092 kgCO2e/tonne-km = 0.0368 kgCO2e</w:t>
      </w:r>
    </w:p>
    <w:p>
      <w:pPr>
        <w:numPr>
          <w:ilvl w:val="0"/>
          <w:numId w:val="1010"/>
        </w:numPr>
        <w:pStyle w:val="Compact"/>
      </w:pPr>
      <w:r>
        <w:rPr>
          <w:bCs/>
          <w:b/>
        </w:rPr>
        <w:t xml:space="preserve">Van Delivery (Last-Mile):</w:t>
      </w:r>
    </w:p>
    <w:p>
      <w:pPr>
        <w:numPr>
          <w:ilvl w:val="1"/>
          <w:numId w:val="1013"/>
        </w:numPr>
        <w:pStyle w:val="Compact"/>
      </w:pPr>
      <w:r>
        <w:t xml:space="preserve">Distance: 50 km</w:t>
      </w:r>
    </w:p>
    <w:p>
      <w:pPr>
        <w:numPr>
          <w:ilvl w:val="1"/>
          <w:numId w:val="1013"/>
        </w:numPr>
        <w:pStyle w:val="Compact"/>
      </w:pPr>
      <w:r>
        <w:t xml:space="preserve">Emission Factor: 0.186 kgCO2e/tonne-km</w:t>
      </w:r>
    </w:p>
    <w:p>
      <w:pPr>
        <w:numPr>
          <w:ilvl w:val="1"/>
          <w:numId w:val="1013"/>
        </w:numPr>
        <w:pStyle w:val="Compact"/>
      </w:pPr>
      <w:r>
        <w:t xml:space="preserve">Emissions: 0.0005 tonnes/unit * 50 km * 0.186 kgCO2e/tonne-km = 0.00465 kgCO2e</w:t>
      </w:r>
    </w:p>
    <w:p>
      <w:pPr>
        <w:pStyle w:val="FirstParagraph"/>
      </w:pPr>
      <w:r>
        <w:rPr>
          <w:bCs/>
          <w:b/>
        </w:rPr>
        <w:t xml:space="preserve">Total Transportation Emissions: 0.186 kgCO2e</w:t>
      </w:r>
    </w:p>
    <w:bookmarkEnd w:id="38"/>
    <w:bookmarkStart w:id="39" w:name="use-phase-scope-3-category-11"/>
    <w:p>
      <w:pPr>
        <w:pStyle w:val="Heading4"/>
      </w:pPr>
      <w:r>
        <w:t xml:space="preserve">4.2.4 Use Phase (Scope 3, Category 11)</w:t>
      </w:r>
    </w:p>
    <w:p>
      <w:pPr>
        <w:numPr>
          <w:ilvl w:val="0"/>
          <w:numId w:val="1014"/>
        </w:numPr>
        <w:pStyle w:val="Compact"/>
      </w:pPr>
      <w:r>
        <w:t xml:space="preserve">Product Lifespan: 5 years</w:t>
      </w:r>
    </w:p>
    <w:p>
      <w:pPr>
        <w:numPr>
          <w:ilvl w:val="0"/>
          <w:numId w:val="1014"/>
        </w:numPr>
        <w:pStyle w:val="Compact"/>
      </w:pPr>
      <w:r>
        <w:t xml:space="preserve">Annual Energy Consumption: 50 kWh/year</w:t>
      </w:r>
    </w:p>
    <w:p>
      <w:pPr>
        <w:numPr>
          <w:ilvl w:val="0"/>
          <w:numId w:val="1014"/>
        </w:numPr>
        <w:pStyle w:val="Compact"/>
      </w:pPr>
      <w:r>
        <w:t xml:space="preserve">Total Energy Consumption over Lifespan: 50 kWh/year * 5 years = 250 kWh</w:t>
      </w:r>
    </w:p>
    <w:p>
      <w:pPr>
        <w:numPr>
          <w:ilvl w:val="0"/>
          <w:numId w:val="1014"/>
        </w:numPr>
        <w:pStyle w:val="Compact"/>
      </w:pPr>
      <w:r>
        <w:t xml:space="preserve">Assumed Generic European Grid Mix EF: 0.250 kgCO2e/kWh</w:t>
      </w:r>
    </w:p>
    <w:p>
      <w:pPr>
        <w:numPr>
          <w:ilvl w:val="0"/>
          <w:numId w:val="1014"/>
        </w:numPr>
        <w:pStyle w:val="Compact"/>
      </w:pPr>
      <w:r>
        <w:t xml:space="preserve">Emissions: 250 kWh * 0.250 kgCO2e/kWh = 62.5 kgCO2e</w:t>
      </w:r>
    </w:p>
    <w:p>
      <w:pPr>
        <w:pStyle w:val="FirstParagraph"/>
      </w:pPr>
      <w:r>
        <w:rPr>
          <w:bCs/>
          <w:b/>
        </w:rPr>
        <w:t xml:space="preserve">Total Use Phase Emissions: 62.50 kgCO2e</w:t>
      </w:r>
    </w:p>
    <w:bookmarkEnd w:id="39"/>
    <w:bookmarkStart w:id="40" w:name="end-of-life-eol-scope-3-category-12"/>
    <w:p>
      <w:pPr>
        <w:pStyle w:val="Heading4"/>
      </w:pPr>
      <w:r>
        <w:t xml:space="preserve">4.2.5 End-of-Life (EoL) (Scope 3, Category 12)</w:t>
      </w:r>
    </w:p>
    <w:p>
      <w:pPr>
        <w:pStyle w:val="FirstParagraph"/>
      </w:pPr>
      <w:r>
        <w:t xml:space="preserve">Assumed product total weight: 0.5 kg/unit</w:t>
      </w:r>
    </w:p>
    <w:p>
      <w:pPr>
        <w:numPr>
          <w:ilvl w:val="0"/>
          <w:numId w:val="1015"/>
        </w:numPr>
        <w:pStyle w:val="Compact"/>
      </w:pPr>
      <w:r>
        <w:rPr>
          <w:bCs/>
          <w:b/>
        </w:rPr>
        <w:t xml:space="preserve">Recycled Portion:</w:t>
      </w:r>
      <w:r>
        <w:t xml:space="preserve"> </w:t>
      </w:r>
      <w:r>
        <w:t xml:space="preserve">0.5 kg * 80% = 0.4 kg</w:t>
      </w:r>
    </w:p>
    <w:p>
      <w:pPr>
        <w:numPr>
          <w:ilvl w:val="1"/>
          <w:numId w:val="1016"/>
        </w:numPr>
        <w:pStyle w:val="Compact"/>
      </w:pPr>
      <w:r>
        <w:t xml:space="preserve">Emission Factor (for recycling process including transport to facility): 0.010 kgCO2e/kg</w:t>
      </w:r>
    </w:p>
    <w:p>
      <w:pPr>
        <w:numPr>
          <w:ilvl w:val="1"/>
          <w:numId w:val="1016"/>
        </w:numPr>
        <w:pStyle w:val="Compact"/>
      </w:pPr>
      <w:r>
        <w:t xml:space="preserve">Emissions: 0.4 kg * 0.010 kgCO2e/kg = 0.004 kgCO2e</w:t>
      </w:r>
    </w:p>
    <w:p>
      <w:pPr>
        <w:numPr>
          <w:ilvl w:val="0"/>
          <w:numId w:val="1015"/>
        </w:numPr>
        <w:pStyle w:val="Compact"/>
      </w:pPr>
      <w:r>
        <w:rPr>
          <w:bCs/>
          <w:b/>
        </w:rPr>
        <w:t xml:space="preserve">Disposed Portion (20%):</w:t>
      </w:r>
      <w:r>
        <w:t xml:space="preserve"> </w:t>
      </w:r>
      <w:r>
        <w:t xml:space="preserve">0.5 kg * 20% = 0.1 kg (split 50/50 landfill and incineration for illustration)</w:t>
      </w:r>
    </w:p>
    <w:p>
      <w:pPr>
        <w:numPr>
          <w:ilvl w:val="1"/>
          <w:numId w:val="1017"/>
        </w:numPr>
        <w:pStyle w:val="Compact"/>
      </w:pPr>
      <w:r>
        <w:t xml:space="preserve">Landfilled (0.05 kg): 0.05 kg * 0.040 kgCO2e/kg = 0.002 kgCO2e</w:t>
      </w:r>
    </w:p>
    <w:p>
      <w:pPr>
        <w:numPr>
          <w:ilvl w:val="1"/>
          <w:numId w:val="1017"/>
        </w:numPr>
        <w:pStyle w:val="Compact"/>
      </w:pPr>
      <w:r>
        <w:t xml:space="preserve">Incinerated (0.05 kg): 0.05 kg * 0.002 kgCO2e/kg = 0.0001 kgCO2e</w:t>
      </w:r>
    </w:p>
    <w:p>
      <w:pPr>
        <w:pStyle w:val="FirstParagraph"/>
      </w:pPr>
      <w:r>
        <w:t xml:space="preserve">The presence of mnyjsprhyw\'s take-back program for refurbishment and material recovery is a strong circular economy initiative. While the direct avoided emissions from refurbishment are not quantified without further data, the high recyclability percentage is directly facilitated by such programs.</w:t>
      </w:r>
    </w:p>
    <w:p>
      <w:pPr>
        <w:pStyle w:val="BodyText"/>
      </w:pPr>
      <w:r>
        <w:rPr>
          <w:bCs/>
          <w:b/>
        </w:rPr>
        <w:t xml:space="preserve">Total End-of-Life Emissions: 0.006 kgCO2e</w:t>
      </w:r>
    </w:p>
    <w:bookmarkEnd w:id="40"/>
    <w:bookmarkEnd w:id="41"/>
    <w:bookmarkStart w:id="42" w:name="X55e36a96c2ae6940e9308a05d9d9687303da788"/>
    <w:p>
      <w:pPr>
        <w:pStyle w:val="Heading3"/>
      </w:pPr>
      <w:r>
        <w:t xml:space="preserve">4.3 Total Product Carbon Footprint (PCF) for qsekvwnhdy</w:t>
      </w:r>
    </w:p>
    <w:p>
      <w:pPr>
        <w:pStyle w:val="FirstParagraph"/>
      </w:pPr>
      <w:r>
        <w:t xml:space="preserve">Summing up emissions from all lifecycle stages:</w:t>
      </w:r>
    </w:p>
    <w:p>
      <w:pPr>
        <w:numPr>
          <w:ilvl w:val="0"/>
          <w:numId w:val="1018"/>
        </w:numPr>
        <w:pStyle w:val="Compact"/>
      </w:pPr>
      <w:r>
        <w:t xml:space="preserve">Materials Acquisition: 1.02 kgCO2e</w:t>
      </w:r>
    </w:p>
    <w:p>
      <w:pPr>
        <w:numPr>
          <w:ilvl w:val="0"/>
          <w:numId w:val="1018"/>
        </w:numPr>
        <w:pStyle w:val="Compact"/>
      </w:pPr>
      <w:r>
        <w:t xml:space="preserve">Manufacturing: 1.63 kgCO2e</w:t>
      </w:r>
    </w:p>
    <w:p>
      <w:pPr>
        <w:numPr>
          <w:ilvl w:val="0"/>
          <w:numId w:val="1018"/>
        </w:numPr>
        <w:pStyle w:val="Compact"/>
      </w:pPr>
      <w:r>
        <w:t xml:space="preserve">Transportation: 0.19 kgCO2e (rounded from 0.186)</w:t>
      </w:r>
    </w:p>
    <w:p>
      <w:pPr>
        <w:numPr>
          <w:ilvl w:val="0"/>
          <w:numId w:val="1018"/>
        </w:numPr>
        <w:pStyle w:val="Compact"/>
      </w:pPr>
      <w:r>
        <w:t xml:space="preserve">Use Phase: 62.50 kgCO2e</w:t>
      </w:r>
    </w:p>
    <w:p>
      <w:pPr>
        <w:numPr>
          <w:ilvl w:val="0"/>
          <w:numId w:val="1018"/>
        </w:numPr>
        <w:pStyle w:val="Compact"/>
      </w:pPr>
      <w:r>
        <w:t xml:space="preserve">End-of-Life: 0.01 kgCO2e (rounded from 0.006)</w:t>
      </w:r>
    </w:p>
    <w:p>
      <w:pPr>
        <w:pStyle w:val="FirstParagraph"/>
      </w:pPr>
      <w:r>
        <w:rPr>
          <w:bCs/>
          <w:b/>
        </w:rPr>
        <w:t xml:space="preserve">Total PCF for 1.0 unit of qsekvwnhdy = 65.35 kgCO2e</w:t>
      </w:r>
    </w:p>
    <w:bookmarkEnd w:id="42"/>
    <w:bookmarkStart w:id="43" w:name="ghg-protocol-scopes-breakdown"/>
    <w:p>
      <w:pPr>
        <w:pStyle w:val="Heading3"/>
      </w:pPr>
      <w:r>
        <w:t xml:space="preserve">4.4 GHG Protocol Scopes Breakdown</w:t>
      </w:r>
    </w:p>
    <w:p>
      <w:pPr>
        <w:pStyle w:val="FirstParagraph"/>
      </w:pPr>
      <w:r>
        <w:t xml:space="preserve">The emissions are categorized according to the GHG Protocol as follows:</w:t>
      </w:r>
    </w:p>
    <w:p>
      <w:pPr>
        <w:numPr>
          <w:ilvl w:val="0"/>
          <w:numId w:val="1019"/>
        </w:numPr>
        <w:pStyle w:val="Compact"/>
      </w:pPr>
      <w:r>
        <w:rPr>
          <w:bCs/>
          <w:b/>
        </w:rPr>
        <w:t xml:space="preserve">Scope 1:</w:t>
      </w:r>
      <w:r>
        <w:t xml:space="preserve"> </w:t>
      </w:r>
      <w:r>
        <w:t xml:space="preserve">Direct emissions from owned or controlled sources. (Assumed negligible for manufacturing, no direct operational vehicles owned by mnyjsprhyw within the PCF system boundary, if any, they\'d be integrated with manufacturing emissions or other specific company operations).</w:t>
      </w:r>
    </w:p>
    <w:p>
      <w:pPr>
        <w:numPr>
          <w:ilvl w:val="0"/>
          <w:numId w:val="1019"/>
        </w:numPr>
        <w:pStyle w:val="Compact"/>
      </w:pPr>
      <w:r>
        <w:rPr>
          <w:bCs/>
          <w:b/>
        </w:rPr>
        <w:t xml:space="preserve">Scope 2:</w:t>
      </w:r>
      <w:r>
        <w:t xml:space="preserve"> </w:t>
      </w:r>
      <w:r>
        <w:t xml:space="preserve">Indirect emissions from the generation of purchased energy. (Manufacturing electricity).</w:t>
      </w:r>
    </w:p>
    <w:p>
      <w:pPr>
        <w:numPr>
          <w:ilvl w:val="0"/>
          <w:numId w:val="1019"/>
        </w:numPr>
        <w:pStyle w:val="Compact"/>
      </w:pPr>
      <w:r>
        <w:rPr>
          <w:bCs/>
          <w:b/>
        </w:rPr>
        <w:t xml:space="preserve">Scope 3:</w:t>
      </w:r>
      <w:r>
        <w:t xml:space="preserve"> </w:t>
      </w:r>
      <w:r>
        <w:t xml:space="preserve">All other indirect emissions in the value chain. (Materials, Transport, Use Phase, End-of-Life).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Operations (e.g., owned vehicles, on-site fuel burn)</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1.63</w:t>
            </w:r>
          </w:p>
        </w:tc>
        <w:tc>
          <w:tcPr/>
          <w:p>
            <w:pPr>
              <w:pStyle w:val="Compact"/>
              <w:jc w:val="left"/>
            </w:pPr>
            <w:r>
              <w:t xml:space="preserve">2.5%</w:t>
            </w:r>
          </w:p>
        </w:tc>
      </w:tr>
      <w:tr>
        <w:tc>
          <w:tcPr>
            <w:vMerge w:val="restart"/>
          </w:tcPr>
          <w:p>
            <w:pPr>
              <w:pStyle w:val="Compact"/>
              <w:jc w:val="left"/>
            </w:pPr>
            <w:r>
              <w:t xml:space="preserve">Scope 3</w:t>
            </w:r>
          </w:p>
        </w:tc>
        <w:tc>
          <w:tcPr/>
          <w:p>
            <w:pPr>
              <w:pStyle w:val="Compact"/>
              <w:jc w:val="left"/>
            </w:pPr>
            <w:r>
              <w:t xml:space="preserve">Materials Acquisition &amp; Pre-processing (Category 1)</w:t>
            </w:r>
          </w:p>
        </w:tc>
        <w:tc>
          <w:tcPr/>
          <w:p>
            <w:pPr>
              <w:pStyle w:val="Compact"/>
              <w:jc w:val="left"/>
            </w:pPr>
            <w:r>
              <w:t xml:space="preserve">1.02</w:t>
            </w:r>
          </w:p>
        </w:tc>
        <w:tc>
          <w:tcPr/>
          <w:p>
            <w:pPr>
              <w:pStyle w:val="Compact"/>
              <w:jc w:val="left"/>
            </w:pPr>
            <w:r>
              <w:t xml:space="preserve">1.6%</w:t>
            </w:r>
          </w:p>
        </w:tc>
      </w:tr>
      <w:tr>
        <w:tc>
          <w:tcPr>
            <w:gridSpan w:val="1"/>
            <w:vMerge w:val="continue"/>
          </w:tcPr>
          <w:p>
            <w:pPr/>
          </w:p>
        </w:tc>
        <w:tc>
          <w:tcPr/>
          <w:p>
            <w:pPr>
              <w:pStyle w:val="Compact"/>
              <w:jc w:val="left"/>
            </w:pPr>
            <w:r>
              <w:t xml:space="preserve">Transportation &amp; Distribution (Categories 4 &amp; 9)</w:t>
            </w:r>
          </w:p>
        </w:tc>
        <w:tc>
          <w:tcPr/>
          <w:p>
            <w:pPr>
              <w:pStyle w:val="Compact"/>
              <w:jc w:val="left"/>
            </w:pPr>
            <w:r>
              <w:t xml:space="preserve">0.19</w:t>
            </w:r>
          </w:p>
        </w:tc>
        <w:tc>
          <w:tcPr/>
          <w:p>
            <w:pPr>
              <w:pStyle w:val="Compact"/>
              <w:jc w:val="left"/>
            </w:pPr>
            <w:r>
              <w:t xml:space="preserve">0.3%</w:t>
            </w:r>
          </w:p>
        </w:tc>
      </w:tr>
      <w:tr>
        <w:tc>
          <w:tcPr>
            <w:gridSpan w:val="1"/>
            <w:vMerge w:val="continue"/>
          </w:tcPr>
          <w:p>
            <w:pPr/>
          </w:p>
        </w:tc>
        <w:tc>
          <w:tcPr/>
          <w:p>
            <w:pPr>
              <w:pStyle w:val="Compact"/>
              <w:jc w:val="left"/>
            </w:pPr>
            <w:r>
              <w:t xml:space="preserve">Use Phase (Category 11)</w:t>
            </w:r>
          </w:p>
        </w:tc>
        <w:tc>
          <w:tcPr/>
          <w:p>
            <w:pPr>
              <w:pStyle w:val="Compact"/>
              <w:jc w:val="left"/>
            </w:pPr>
            <w:r>
              <w:t xml:space="preserve">62.50</w:t>
            </w:r>
          </w:p>
        </w:tc>
        <w:tc>
          <w:tcPr/>
          <w:p>
            <w:pPr>
              <w:pStyle w:val="Compact"/>
              <w:jc w:val="left"/>
            </w:pPr>
            <w:r>
              <w:t xml:space="preserve">95.6%</w:t>
            </w:r>
          </w:p>
        </w:tc>
      </w:tr>
      <w:tr>
        <w:tc>
          <w:tcPr>
            <w:gridSpan w:val="1"/>
            <w:vMerge w:val="continue"/>
          </w:tcPr>
          <w:p>
            <w:pPr/>
          </w:p>
        </w:tc>
        <w:tc>
          <w:tcPr/>
          <w:p>
            <w:pPr>
              <w:pStyle w:val="Compact"/>
              <w:jc w:val="left"/>
            </w:pPr>
            <w:r>
              <w:t xml:space="preserve">End-of-Life Treatment (Category 12)</w:t>
            </w:r>
          </w:p>
        </w:tc>
        <w:tc>
          <w:tcPr/>
          <w:p>
            <w:pPr>
              <w:pStyle w:val="Compact"/>
              <w:jc w:val="left"/>
            </w:pPr>
            <w:r>
              <w:t xml:space="preserve">0.01</w:t>
            </w:r>
          </w:p>
        </w:tc>
        <w:tc>
          <w:tcPr/>
          <w:p>
            <w:pPr>
              <w:pStyle w:val="Compact"/>
              <w:jc w:val="left"/>
            </w:pPr>
            <w:r>
              <w:t xml:space="preserve">0.0%</w:t>
            </w:r>
          </w:p>
        </w:tc>
      </w:tr>
      <w:tr>
        <w:tc>
          <w:tcPr>
            <w:gridSpan w:val="2"/>
          </w:tcPr>
          <w:p>
            <w:pPr>
              <w:pStyle w:val="Compact"/>
              <w:jc w:val="left"/>
            </w:pPr>
            <w:r>
              <w:rPr>
                <w:bCs/>
                <w:b/>
              </w:rPr>
              <w:t xml:space="preserve">TOTAL PCF</w:t>
            </w:r>
          </w:p>
        </w:tc>
        <w:tc>
          <w:tcPr/>
          <w:p>
            <w:pPr>
              <w:pStyle w:val="Compact"/>
              <w:jc w:val="left"/>
            </w:pPr>
            <w:r>
              <w:rPr>
                <w:bCs/>
                <w:b/>
              </w:rPr>
              <w:t xml:space="preserve">65.35</w:t>
            </w:r>
          </w:p>
        </w:tc>
        <w:tc>
          <w:tcPr/>
          <w:p>
            <w:pPr>
              <w:pStyle w:val="Compact"/>
              <w:jc w:val="left"/>
            </w:pPr>
            <w:r>
              <w:rPr>
                <w:bCs/>
                <w:b/>
              </w:rPr>
              <w:t xml:space="preserve">100.0%</w:t>
            </w: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clearly identifies the</w:t>
      </w:r>
      <w:r>
        <w:t xml:space="preserve"> </w:t>
      </w:r>
      <w:r>
        <w:rPr>
          <w:bCs/>
          <w:b/>
        </w:rPr>
        <w:t xml:space="preserve">Use Phase (95.6%)</w:t>
      </w:r>
      <w:r>
        <w:t xml:space="preserve"> </w:t>
      </w:r>
      <w:r>
        <w:t xml:space="preserve">as the predominant hotspot for the qsekvwnhdy product\'s carbon footprint. This is primarily driven by the assumed energy consumption of 50 kWh/year over a 5-year lifespan. Other significant contributors include manufacturing electricity (Scope 2) and materials acquisition (Scope 3, Category 1). Transportation and End-of-Life stages contribute a comparatively small percentage.</w:t>
      </w:r>
    </w:p>
    <w:bookmarkEnd w:id="45"/>
    <w:bookmarkStart w:id="46" w:name="reliability-and-scope-3-compliance"/>
    <w:p>
      <w:pPr>
        <w:pStyle w:val="Heading3"/>
      </w:pPr>
      <w:r>
        <w:t xml:space="preserve">5.2 Reliability and Scope 3 Compliance</w:t>
      </w:r>
    </w:p>
    <w:p>
      <w:pPr>
        <w:pStyle w:val="FirstParagraph"/>
      </w:pPr>
      <w:r>
        <w:t xml:space="preserve">This analysis leverages provided product-specific parameters and supplements them with industry-standard emission factors from reputable sources (e.g., IEA, DEFRA, GLEC). The comprehensive inclusion of material, manufacturing, transport, use, and end-of-life stages ensures a broad coverage of the product\'s value chain emissions. For Scope 3 reporting, the target of</w:t>
      </w:r>
      <w:r>
        <w:t xml:space="preserve"> </w:t>
      </w:r>
      <w:r>
        <w:rPr>
          <w:bCs/>
          <w:b/>
        </w:rPr>
        <w:t xml:space="preserve">at least 95% coverage</w:t>
      </w:r>
      <w:r>
        <w:t xml:space="preserve"> </w:t>
      </w:r>
      <w:r>
        <w:t xml:space="preserve">(as per 2026 requirements) is met, primarily due to the dominant contribution of the Use Phase. The use of illustrative data for numerical calculations means that while the methodology is robust, the absolute numerical results depend entirely on the accuracy and representativeness of these assumed values.</w:t>
      </w:r>
    </w:p>
    <w:bookmarkEnd w:id="46"/>
    <w:bookmarkStart w:id="47" w:name="X504f4a86e01fdcfa46a4589bb1b5e0cfaad8629"/>
    <w:p>
      <w:pPr>
        <w:pStyle w:val="Heading3"/>
      </w:pPr>
      <w:r>
        <w:t xml:space="preserve">5.3 2026 Land Sector and Removals (LSR) Standard Update</w:t>
      </w:r>
    </w:p>
    <w:p>
      <w:pPr>
        <w:pStyle w:val="FirstParagraph"/>
      </w:pPr>
      <w:r>
        <w:t xml:space="preserve">The GHG Protocol\'s Land Sector and Removals (LSR) Standard, released in January 2026 and effective January 1, 2027, provides crucial guidance for accounting for land emissions, CO₂ removals, and biogenic products. While direct land-use change and biogenic carbon flows may not be a primary driver for an IoT sensor product composed mainly of electronics and plastics, its principles are acknowledged. For this product, if any bio-based materials were used (e.g., specific components or packaging with a significant biogenic carbon footprint), or if mnyjsprhyw\'s operations or upstream supply chain involved land management activities (e.g., agriculture for specific chemical inputs), the LSR Standard would guide the quantification and reporting of associated emissions and removals. The standard also covers technological CO2 removals. For the current product, indirect land-use impacts associated with raw material extraction (e.g., mining) are captured within the cradle-to-gate material emission factors. Future iterations of this PCF should specifically assess the applicability of the LSR Standard to any evolving product design or supply chain changes that introduce significant land-related emissions or removals.</w:t>
      </w:r>
    </w:p>
    <w:p>
      <w:r>
        <w:pict>
          <v:rect style="width:0;height:1.5pt" o:hralign="center" o:hrstd="t" o:hr="t"/>
        </w:pict>
      </w:r>
    </w:p>
    <w:bookmarkEnd w:id="47"/>
    <w:bookmarkStart w:id="48" w:name="recommendations-for-mnyjsprhyw"/>
    <w:p>
      <w:pPr>
        <w:pStyle w:val="Heading3"/>
      </w:pPr>
      <w:r>
        <w:t xml:space="preserve">Recommendations for mnyjsprhyw:</w:t>
      </w:r>
    </w:p>
    <w:p>
      <w:pPr>
        <w:numPr>
          <w:ilvl w:val="0"/>
          <w:numId w:val="1020"/>
        </w:numPr>
        <w:pStyle w:val="Compact"/>
      </w:pPr>
      <w:r>
        <w:rPr>
          <w:bCs/>
          <w:b/>
        </w:rPr>
        <w:t xml:space="preserve">Use Phase Optimization:</w:t>
      </w:r>
      <w:r>
        <w:t xml:space="preserve"> </w:t>
      </w:r>
      <w:r>
        <w:t xml:space="preserve">Given the dominance of the Use Phase, mnyjsprhyw should focus on strategies to reduce the product\'s energy consumption during operation. This could involve exploring lower-power components, optimizing software for energy efficiency, or offering smart energy-saving modes.</w:t>
      </w:r>
    </w:p>
    <w:p>
      <w:pPr>
        <w:numPr>
          <w:ilvl w:val="0"/>
          <w:numId w:val="1020"/>
        </w:numPr>
        <w:pStyle w:val="Compact"/>
      </w:pPr>
      <w:r>
        <w:rPr>
          <w:bCs/>
          <w:b/>
        </w:rPr>
        <w:t xml:space="preserve">Renewable Energy Sourcing:</w:t>
      </w:r>
      <w:r>
        <w:t xml:space="preserve"> </w:t>
      </w:r>
      <w:r>
        <w:t xml:space="preserve">Continue and expand the use of renewable energy in manufacturing facilities. Investigate opportunities for suppliers to transition to renewable energy sources to further reduce upstream Scope 3 emissions.</w:t>
      </w:r>
    </w:p>
    <w:p>
      <w:pPr>
        <w:numPr>
          <w:ilvl w:val="0"/>
          <w:numId w:val="1020"/>
        </w:numPr>
        <w:pStyle w:val="Compact"/>
      </w:pPr>
      <w:r>
        <w:rPr>
          <w:bCs/>
          <w:b/>
        </w:rPr>
        <w:t xml:space="preserve">Material Innovations:</w:t>
      </w:r>
      <w:r>
        <w:t xml:space="preserve"> </w:t>
      </w:r>
      <w:r>
        <w:t xml:space="preserve">Explore lower-carbon alternatives for key materials, especially plastics and electronics. Consider materials with higher recycled content (beyond packaging) or those with inherently lower embodied carbon.</w:t>
      </w:r>
    </w:p>
    <w:p>
      <w:pPr>
        <w:numPr>
          <w:ilvl w:val="0"/>
          <w:numId w:val="1020"/>
        </w:numPr>
        <w:pStyle w:val="Compact"/>
      </w:pPr>
      <w:r>
        <w:rPr>
          <w:bCs/>
          <w:b/>
        </w:rPr>
        <w:t xml:space="preserve">Circular Economy Expansion:</w:t>
      </w:r>
      <w:r>
        <w:t xml:space="preserve"> </w:t>
      </w:r>
      <w:r>
        <w:t xml:space="preserve">Strengthen and expand the existing take-back and refurbishment programs. Quantify the avoided emissions from these circular activities to fully capture their positive impact.</w:t>
      </w:r>
    </w:p>
    <w:p>
      <w:pPr>
        <w:numPr>
          <w:ilvl w:val="0"/>
          <w:numId w:val="1020"/>
        </w:numPr>
        <w:pStyle w:val="Compact"/>
      </w:pPr>
      <w:r>
        <w:rPr>
          <w:bCs/>
          <w:b/>
        </w:rPr>
        <w:t xml:space="preserve">Supplier Engagement:</w:t>
      </w:r>
      <w:r>
        <w:t xml:space="preserve"> </w:t>
      </w:r>
      <w:r>
        <w:t xml:space="preserve">Work closely with suppliers to obtain primary data on their manufacturing processes and energy consumption to enhance the accuracy of Scope 3 reporting.</w:t>
      </w:r>
    </w:p>
    <w:p>
      <w:pPr>
        <w:pStyle w:val="FirstParagraph"/>
      </w:pPr>
      <w:r>
        <w:t xml:space="preserve">Confidential - Internal Use Only | Page</w:t>
      </w:r>
      <w:r>
        <w:t xml:space="preserve"> </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qsekvwnhdy</dc:title>
  <dc:creator/>
  <dc:description>High-detail Product Carbon Footprint (PCF) analysis report for qsekvwnhdy, performed by hppmthphdi, Senior Sustainability Consultant at mnyjsprhyw, adhering to GHG Protocol standards and 2026 LSR updates.</dc:description>
  <dc:language>en</dc:language>
  <cp:keywords/>
  <dcterms:created xsi:type="dcterms:W3CDTF">2026-05-30T18:16:16Z</dcterms:created>
  <dcterms:modified xsi:type="dcterms:W3CDTF">2026-05-30T18:16:16Z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