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qrhhgezpiw</w:t>
      </w:r>
      <w:r>
        <w:t xml:space="preserve"> </w:t>
      </w:r>
      <w:r>
        <w:t xml:space="preserve">by</w:t>
      </w:r>
      <w:r>
        <w:t xml:space="preserve"> </w:t>
      </w:r>
      <w:r>
        <w:t xml:space="preserve">imfkxsqyqq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qrhhgezpiw</w:t>
      </w:r>
    </w:p>
    <w:p>
      <w:pPr>
        <w:pStyle w:val="BodyText"/>
      </w:pPr>
      <w:r>
        <w:rPr>
          <w:bCs/>
          <w:b/>
        </w:rPr>
        <w:t xml:space="preserve">Company:</w:t>
      </w:r>
      <w:r>
        <w:t xml:space="preserve"> </w:t>
      </w:r>
      <w:r>
        <w:t xml:space="preserve">imfkxsqyqq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ymyzvlllfs</w:t>
      </w:r>
    </w:p>
    <w:p>
      <w:pPr>
        <w:pStyle w:val="BodyText"/>
      </w:pPr>
      <w:r>
        <w:t xml:space="preserve">Disclaimer: This report is generated based on available data and industry standards. While every effort has been made to ensure accuracy, it should be used for informational purposes and internal decision-making processes. Actual emissions may vary based on real-world conditions and data availability.</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qrhhgezpiw</w:t>
      </w:r>
      <w:r>
        <w:t xml:space="preserve">, manufactured by</w:t>
      </w:r>
      <w:r>
        <w:t xml:space="preserve"> </w:t>
      </w:r>
      <w:r>
        <w:rPr>
          <w:bCs/>
          <w:b/>
        </w:rPr>
        <w:t xml:space="preserve">imfkxsqyqq</w:t>
      </w:r>
      <w:r>
        <w:t xml:space="preserve">. Conducted by</w:t>
      </w:r>
      <w:r>
        <w:t xml:space="preserve"> </w:t>
      </w:r>
      <w:r>
        <w:rPr>
          <w:bCs/>
          <w:b/>
        </w:rPr>
        <w:t xml:space="preserve">ymyzvlllfs</w:t>
      </w:r>
      <w:r>
        <w:t xml:space="preserve">, Senior Sustainability Consultant, and adhering strictly to the</w:t>
      </w:r>
      <w:r>
        <w:t xml:space="preserve"> </w:t>
      </w:r>
      <w:r>
        <w:rPr>
          <w:bCs/>
          <w:b/>
        </w:rPr>
        <w:t xml:space="preserve">GHG Protocol</w:t>
      </w:r>
      <w:r>
        <w:t xml:space="preserve">, this analysis covers the lifecycle emissions from raw material extraction to the factory gate, including considerations for the use and end-of-life phases. Special attention has been given to achieving at least 95% Scope 3 coverage, as per 2026 requirements, and incorporating the 2026 Land Sector and Removals (LSR) Standard. The objective is to identify key emission hotspots and provide actionable insights for reducing the product\'s environmental impact.</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scope definition sets the boundaries for the Product Carbon Footprint analysis, ensuring consistency and comparability.</w:t>
      </w:r>
    </w:p>
    <w:p>
      <w:pPr>
        <w:numPr>
          <w:ilvl w:val="0"/>
          <w:numId w:val="1001"/>
        </w:numPr>
        <w:pStyle w:val="Compact"/>
      </w:pPr>
      <w:r>
        <w:rPr>
          <w:bCs/>
          <w:b/>
        </w:rPr>
        <w:t xml:space="preserve">Functional Unit:</w:t>
      </w:r>
      <w:r>
        <w:t xml:space="preserve"> </w:t>
      </w:r>
      <w:r>
        <w:t xml:space="preserve">1.0 unit of qrhhgezpiw.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boundary encompasses all processes from raw material acquisition, through manufacturing, to the point where the finished product leaves the factory. Emissions related to the use phase and end-of-life are also considered, extending the analysis beyond the 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All calculations and categorization of emissions strictly follow the guidelines provided by the Greenhouse Gas Protocol, including the 2026 updates for Scope 3 and the LSR Standard.</w:t>
      </w:r>
    </w:p>
    <w:p>
      <w:pPr>
        <w:numPr>
          <w:ilvl w:val="0"/>
          <w:numId w:val="1001"/>
        </w:numPr>
        <w:pStyle w:val="Compact"/>
      </w:pPr>
      <w:r>
        <w:rPr>
          <w:bCs/>
          <w:b/>
        </w:rPr>
        <w:t xml:space="preserve">Allocation:</w:t>
      </w:r>
      <w:r>
        <w:t xml:space="preserve"> </w:t>
      </w:r>
      <w:r>
        <w:t xml:space="preserve">Emissions are allocated based on physical parameters (e.g., mass, energy consumption) for multi-output processes where direct attribution is not feasible. Co-product and recycling allocations follow the GHG Protocol\'s recommended approaches.</w:t>
      </w:r>
    </w:p>
    <w:bookmarkEnd w:id="23"/>
    <w:p>
      <w:r>
        <w:pict>
          <v:rect style="width:0;height:1.5pt" o:hralign="center" o:hrstd="t" o:hr="t"/>
        </w:pict>
      </w:r>
    </w:p>
    <w:bookmarkStart w:id="29" w:name="X668a29dea6996859d52024a913312988ccfa3c9"/>
    <w:p>
      <w:pPr>
        <w:pStyle w:val="Heading2"/>
      </w:pPr>
      <w:r>
        <w:t xml:space="preserve">2. Map Lifecycle (LCI Inventory Stages) &amp; 3. Collect Data</w:t>
      </w:r>
    </w:p>
    <w:p>
      <w:pPr>
        <w:pStyle w:val="FirstParagraph"/>
      </w:pPr>
      <w:r>
        <w:t xml:space="preserve">This section details the critical inputs across the product\'s lifecycle, from raw material sourcing to manufacturing, transport, use, and end-of-life. Data collection prioritized primary data where available, supplemented by high-quality secondary data from reputable databases (e.g., Ecoinvent, DEFRA, though specific database access is simulated for this report).</w:t>
      </w:r>
    </w:p>
    <w:bookmarkStart w:id="24" w:name="Xd3674eab5e1976b46f4d01177c7b664df97754d"/>
    <w:p>
      <w:pPr>
        <w:pStyle w:val="Heading3"/>
      </w:pPr>
      <w:r>
        <w:t xml:space="preserve">Material Inputs (Detailed Bill of Materials - pwndjkiv)</w:t>
      </w:r>
    </w:p>
    <w:p>
      <w:pPr>
        <w:pStyle w:val="FirstParagraph"/>
      </w:pPr>
      <w:r>
        <w:t xml:space="preserve">The following detailed Bill of Materials (BOM) represents the data provided via</w:t>
      </w:r>
      <w:r>
        <w:t xml:space="preserve"> </w:t>
      </w:r>
      <w:r>
        <w:rPr>
          <w:bCs/>
          <w:b/>
        </w:rPr>
        <w:t xml:space="preserve">pwndjkiv</w:t>
      </w:r>
      <w:r>
        <w:t xml:space="preserve"> </w:t>
      </w:r>
      <w:r>
        <w:t xml:space="preserve">and was used to calculate the material-related emissions with high accuracy. The data assumes industry-average processes for each material category in a European context for the upstream supply chain, with final assembly in China.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 kg</w:t>
            </w:r>
          </w:p>
        </w:tc>
        <w:tc>
          <w:tcPr/>
          <w:p>
            <w:pPr>
              <w:pStyle w:val="Compact"/>
              <w:jc w:val="left"/>
            </w:pPr>
            <w:r>
              <w:t xml:space="preserve">7.5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 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 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0.08 kg</w:t>
            </w:r>
          </w:p>
        </w:tc>
        <w:tc>
          <w:tcPr/>
          <w:p>
            <w:pPr>
              <w:pStyle w:val="Compact"/>
              <w:jc w:val="left"/>
            </w:pPr>
            <w:r>
              <w:t xml:space="preserve">1.2</w:t>
            </w:r>
          </w:p>
        </w:tc>
        <w:tc>
          <w:tcPr/>
          <w:p>
            <w:pPr>
              <w:pStyle w:val="Compact"/>
              <w:jc w:val="left"/>
            </w:pPr>
            <w:r>
              <w:t xml:space="preserve">0.096</w:t>
            </w:r>
          </w:p>
        </w:tc>
      </w:tr>
    </w:tbl>
    <w:bookmarkEnd w:id="24"/>
    <w:bookmarkStart w:id="25" w:name="energy-inputs-production-phase"/>
    <w:p>
      <w:pPr>
        <w:pStyle w:val="Heading3"/>
      </w:pPr>
      <w:r>
        <w:t xml:space="preserve">Energy Inputs (Production Phase)</w:t>
      </w:r>
    </w:p>
    <w:p>
      <w:pPr>
        <w:pStyle w:val="FirstParagraph"/>
      </w:pPr>
      <w:r>
        <w:t xml:space="preserve">Energy consumption during the production phase at the final manufacturing facility in China is a significant contributor to the PCF. The following data was utilized:</w:t>
      </w:r>
    </w:p>
    <w:p>
      <w:pPr>
        <w:numPr>
          <w:ilvl w:val="0"/>
          <w:numId w:val="1003"/>
        </w:numPr>
        <w:pStyle w:val="Compact"/>
      </w:pPr>
      <w:r>
        <w:rPr>
          <w:bCs/>
          <w:b/>
        </w:rPr>
        <w:t xml:space="preserve">Renewable Energy Usage:</w:t>
      </w:r>
      <w:r>
        <w:t xml:space="preserve"> </w:t>
      </w:r>
      <w:r>
        <w:t xml:space="preserve">gndrnrimfp (e.g., 60% of electricity sourced from renewable energy, leading to a lower grid emission factor for the remaining conventional energy).</w:t>
      </w:r>
    </w:p>
    <w:p>
      <w:pPr>
        <w:numPr>
          <w:ilvl w:val="0"/>
          <w:numId w:val="1003"/>
        </w:numPr>
        <w:pStyle w:val="Compact"/>
      </w:pPr>
      <w:r>
        <w:rPr>
          <w:bCs/>
          <w:b/>
        </w:rPr>
        <w:t xml:space="preserve">Energy Intensity (kWh/unit):</w:t>
      </w:r>
      <w:r>
        <w:t xml:space="preserve"> </w:t>
      </w:r>
      <w:r>
        <w:t xml:space="preserve">dvozoixkrq (e.g., 2.5 kWh/unit).</w:t>
      </w:r>
    </w:p>
    <w:p>
      <w:pPr>
        <w:numPr>
          <w:ilvl w:val="0"/>
          <w:numId w:val="1003"/>
        </w:numPr>
        <w:pStyle w:val="Compact"/>
      </w:pPr>
      <w:r>
        <w:rPr>
          <w:iCs/>
          <w:i/>
        </w:rPr>
        <w:t xml:space="preserve">Note:</w:t>
      </w:r>
      <w:r>
        <w:t xml:space="preserve"> </w:t>
      </w:r>
      <w:r>
        <w:t xml:space="preserve">The emission factor for electricity is adjusted based on the reported renewable energy usage and the regional grid mix for China.</w:t>
      </w:r>
    </w:p>
    <w:bookmarkEnd w:id="25"/>
    <w:bookmarkStart w:id="26" w:name="Xfbe7abce6eec3e7ebbc1108a591ccd36bb37451"/>
    <w:p>
      <w:pPr>
        <w:pStyle w:val="Heading3"/>
      </w:pPr>
      <w:r>
        <w:t xml:space="preserve">Logistics Data (Transport and Last-Mile Delivery)</w:t>
      </w:r>
    </w:p>
    <w:p>
      <w:pPr>
        <w:pStyle w:val="FirstParagraph"/>
      </w:pPr>
      <w:r>
        <w:t xml:space="preserve">Transportation of raw materials, components, and the finished product contributes to Scope 3 emissions. The following specific logistics data was integrated:</w:t>
      </w:r>
    </w:p>
    <w:p>
      <w:pPr>
        <w:numPr>
          <w:ilvl w:val="0"/>
          <w:numId w:val="1004"/>
        </w:numPr>
        <w:pStyle w:val="Compact"/>
      </w:pPr>
      <w:r>
        <w:rPr>
          <w:bCs/>
          <w:b/>
        </w:rPr>
        <w:t xml:space="preserve">Primary Transport Mode (e.g., components from Europe to China):</w:t>
      </w:r>
      <w:r>
        <w:t xml:space="preserve"> </w:t>
      </w:r>
      <w:r>
        <w:t xml:space="preserve">Select Mode (e.g., Sea Freight).</w:t>
      </w:r>
    </w:p>
    <w:p>
      <w:pPr>
        <w:numPr>
          <w:ilvl w:val="0"/>
          <w:numId w:val="1004"/>
        </w:numPr>
        <w:pStyle w:val="Compact"/>
      </w:pPr>
      <w:r>
        <w:rPr>
          <w:bCs/>
          <w:b/>
        </w:rPr>
        <w:t xml:space="preserve">Transport Distance:</w:t>
      </w:r>
      <w:r>
        <w:t xml:space="preserve"> </w:t>
      </w:r>
      <w:r>
        <w:t xml:space="preserve">deirgxrrnt (e.g., 15,000 km for sea freight).</w:t>
      </w:r>
    </w:p>
    <w:p>
      <w:pPr>
        <w:numPr>
          <w:ilvl w:val="0"/>
          <w:numId w:val="1004"/>
        </w:numPr>
        <w:pStyle w:val="Compact"/>
      </w:pPr>
      <w:r>
        <w:rPr>
          <w:bCs/>
          <w:b/>
        </w:rPr>
        <w:t xml:space="preserve">Last-Mile Delivery Channel (e.g., from distribution hub to customer in Europe):</w:t>
      </w:r>
      <w:r>
        <w:t xml:space="preserve"> </w:t>
      </w:r>
      <w:r>
        <w:t xml:space="preserve">Delivery Type (e.g., Road Freight (Truck)).</w:t>
      </w:r>
    </w:p>
    <w:p>
      <w:pPr>
        <w:numPr>
          <w:ilvl w:val="0"/>
          <w:numId w:val="1004"/>
        </w:numPr>
        <w:pStyle w:val="Compact"/>
      </w:pPr>
      <w:r>
        <w:rPr>
          <w:bCs/>
          <w:b/>
        </w:rPr>
        <w:t xml:space="preserve">Last-Mile Delivery Distance:</w:t>
      </w:r>
      <w:r>
        <w:t xml:space="preserve"> </w:t>
      </w:r>
      <w:r>
        <w:t xml:space="preserve">(e.g., average 500 km).</w:t>
      </w:r>
    </w:p>
    <w:p>
      <w:pPr>
        <w:numPr>
          <w:ilvl w:val="0"/>
          <w:numId w:val="1004"/>
        </w:numPr>
        <w:pStyle w:val="Compact"/>
      </w:pPr>
      <w:r>
        <w:rPr>
          <w:iCs/>
          <w:i/>
        </w:rPr>
        <w:t xml:space="preserve">Note:</w:t>
      </w:r>
      <w:r>
        <w:t xml:space="preserve"> </w:t>
      </w:r>
      <w:r>
        <w:t xml:space="preserve">Emission factors for transport modes are based on fuel consumption and cargo capacity, derived from Ecoinvent/DEFRA equivalents for typical European/global logistics.</w:t>
      </w:r>
    </w:p>
    <w:bookmarkEnd w:id="26"/>
    <w:bookmarkStart w:id="27" w:name="use-phase-data"/>
    <w:p>
      <w:pPr>
        <w:pStyle w:val="Heading3"/>
      </w:pPr>
      <w:r>
        <w:t xml:space="preserve">Use Phase Data</w:t>
      </w:r>
    </w:p>
    <w:p>
      <w:pPr>
        <w:pStyle w:val="FirstParagraph"/>
      </w:pPr>
      <w:r>
        <w:t xml:space="preserve">Emissions during the product\'s operational life are accounted for based on its durability and energy consumption.</w:t>
      </w:r>
    </w:p>
    <w:p>
      <w:pPr>
        <w:numPr>
          <w:ilvl w:val="0"/>
          <w:numId w:val="1005"/>
        </w:numPr>
        <w:pStyle w:val="Compact"/>
      </w:pPr>
      <w:r>
        <w:rPr>
          <w:bCs/>
          <w:b/>
        </w:rPr>
        <w:t xml:space="preserve">Product Lifespan:</w:t>
      </w:r>
      <w:r>
        <w:t xml:space="preserve"> </w:t>
      </w:r>
      <w:r>
        <w:t xml:space="preserve">fpxwsxglhj (e.g., 5 years).</w:t>
      </w:r>
    </w:p>
    <w:p>
      <w:pPr>
        <w:numPr>
          <w:ilvl w:val="0"/>
          <w:numId w:val="1005"/>
        </w:numPr>
        <w:pStyle w:val="Compact"/>
      </w:pPr>
      <w:r>
        <w:rPr>
          <w:bCs/>
          <w:b/>
        </w:rPr>
        <w:t xml:space="preserve">Energy Consumption in Use:</w:t>
      </w:r>
      <w:r>
        <w:t xml:space="preserve"> </w:t>
      </w:r>
      <w:r>
        <w:t xml:space="preserve">fssqftnzqi (e.g., 10 kWh/year).</w:t>
      </w:r>
    </w:p>
    <w:p>
      <w:pPr>
        <w:numPr>
          <w:ilvl w:val="0"/>
          <w:numId w:val="1005"/>
        </w:numPr>
        <w:pStyle w:val="Compact"/>
      </w:pPr>
      <w:r>
        <w:rPr>
          <w:iCs/>
          <w:i/>
        </w:rPr>
        <w:t xml:space="preserve">Note:</w:t>
      </w:r>
      <w:r>
        <w:t xml:space="preserve"> </w:t>
      </w:r>
      <w:r>
        <w:t xml:space="preserve">The electricity mix for the use phase is assumed to be an average European grid mix, reflecting the product\'s primary market.</w:t>
      </w:r>
    </w:p>
    <w:bookmarkEnd w:id="27"/>
    <w:bookmarkStart w:id="28" w:name="end-of-life-eol-scenarios"/>
    <w:p>
      <w:pPr>
        <w:pStyle w:val="Heading3"/>
      </w:pPr>
      <w:r>
        <w:t xml:space="preserve">End-of-Life (EoL) Scenarios</w:t>
      </w:r>
    </w:p>
    <w:p>
      <w:pPr>
        <w:pStyle w:val="FirstParagraph"/>
      </w:pPr>
      <w:r>
        <w:t xml:space="preserve">The end-of-life stage considers the fate of the product after its useful life, incorporating circular economy principles.</w:t>
      </w:r>
    </w:p>
    <w:p>
      <w:pPr>
        <w:numPr>
          <w:ilvl w:val="0"/>
          <w:numId w:val="1006"/>
        </w:numPr>
        <w:pStyle w:val="Compact"/>
      </w:pPr>
      <w:r>
        <w:rPr>
          <w:bCs/>
          <w:b/>
        </w:rPr>
        <w:t xml:space="preserve">Recyclability Percentage:</w:t>
      </w:r>
      <w:r>
        <w:t xml:space="preserve"> </w:t>
      </w:r>
      <w:r>
        <w:t xml:space="preserve">qdxomdsldq (e.g., 75% of materials by weight are recyclable).</w:t>
      </w:r>
    </w:p>
    <w:p>
      <w:pPr>
        <w:numPr>
          <w:ilvl w:val="0"/>
          <w:numId w:val="1006"/>
        </w:numPr>
        <w:pStyle w:val="Compact"/>
      </w:pPr>
      <w:r>
        <w:rPr>
          <w:bCs/>
          <w:b/>
        </w:rPr>
        <w:t xml:space="preserve">Circular/Take-back Programs:</w:t>
      </w:r>
      <w:r>
        <w:t xml:space="preserve"> </w:t>
      </w:r>
      <w:r>
        <w:t xml:space="preserve">jrwimmhmeo (e.g., Yes, regional take-back program active, facilitating material recovery).</w:t>
      </w:r>
    </w:p>
    <w:p>
      <w:pPr>
        <w:numPr>
          <w:ilvl w:val="0"/>
          <w:numId w:val="1006"/>
        </w:numPr>
        <w:pStyle w:val="Compact"/>
      </w:pPr>
      <w:r>
        <w:rPr>
          <w:iCs/>
          <w:i/>
        </w:rPr>
        <w:t xml:space="preserve">Note:</w:t>
      </w:r>
      <w:r>
        <w:t xml:space="preserve"> </w:t>
      </w:r>
      <w:r>
        <w:t xml:space="preserve">Recycling benefits (avoided virgin material production) are credited following the GHG Protocol\'s module D approach, adjusted for actual collection and recycling rates. Remaining waste is assumed to go to landfill or incineration, with associated emissions.</w:t>
      </w:r>
    </w:p>
    <w:bookmarkEnd w:id="28"/>
    <w:bookmarkEnd w:id="29"/>
    <w:p>
      <w:r>
        <w:pict>
          <v:rect style="width:0;height:1.5pt" o:hralign="center" o:hrstd="t" o:hr="t"/>
        </w:pict>
      </w:r>
    </w:p>
    <w:bookmarkStart w:id="33" w:name="calculate-emissions"/>
    <w:p>
      <w:pPr>
        <w:pStyle w:val="Heading2"/>
      </w:pPr>
      <w:r>
        <w:t xml:space="preserve">4. Calculate Emissions</w:t>
      </w:r>
    </w:p>
    <w:p>
      <w:pPr>
        <w:pStyle w:val="FirstParagraph"/>
      </w:pPr>
      <w:r>
        <w:t xml:space="preserve">The calculation methodology adheres strictly to the</w:t>
      </w:r>
      <w:r>
        <w:t xml:space="preserve"> </w:t>
      </w:r>
      <w:r>
        <w:rPr>
          <w:bCs/>
          <w:b/>
        </w:rPr>
        <w:t xml:space="preserve">GHG Protocol (Product Standard)</w:t>
      </w:r>
      <w:r>
        <w:t xml:space="preserve">, categorizing emissions into Scope 1, Scope 2, and Scope 3. The 2026 Land Sector and Removals (LSR) Standard is applied for relevant land use and carbon removals. A target of at least 95% Scope 3 coverage is maintained to meet 2026 reporting requirements.</w:t>
      </w:r>
    </w:p>
    <w:p>
      <w:pPr>
        <w:pStyle w:val="BodyText"/>
      </w:pPr>
      <w:r>
        <w:t xml:space="preserve">Emissions are calculated using the formula:</w:t>
      </w:r>
      <w:r>
        <w:t xml:space="preserve"> </w:t>
      </w:r>
      <w:r>
        <w:rPr>
          <w:rStyle w:val="VerbatimChar"/>
        </w:rPr>
        <w:t xml:space="preserve">Activity Data × Emission Factor = CO2e</w:t>
      </w:r>
      <w:r>
        <w:t xml:space="preserve">.</w:t>
      </w:r>
    </w:p>
    <w:bookmarkStart w:id="30" w:name="X89712ad2f96f1545c787068fc4ef6a440b6ce2b"/>
    <w:p>
      <w:pPr>
        <w:pStyle w:val="Heading3"/>
      </w:pPr>
      <w:r>
        <w:t xml:space="preserve">Summary of Calculated Emissions (Illustrative)</w:t>
      </w:r>
    </w:p>
    <w:p>
      <w:pPr>
        <w:pStyle w:val="FirstParagraph"/>
      </w:pPr>
      <w:r>
        <w:t xml:space="preserve">Based on the collected data and using industry-standard emission factors (e.g., from Ecoinvent/DEFRA), the Product Carbon Footprint for one functional unit of</w:t>
      </w:r>
      <w:r>
        <w:t xml:space="preserve"> </w:t>
      </w:r>
      <w:r>
        <w:rPr>
          <w:bCs/>
          <w:b/>
        </w:rPr>
        <w:t xml:space="preserve">qrhhgezpiw</w:t>
      </w:r>
      <w:r>
        <w:t xml:space="preserve"> </w:t>
      </w:r>
      <w:r>
        <w:t xml:space="preserve">is estimated as follows.</w:t>
      </w:r>
      <w:r>
        <w:t xml:space="preserve"> </w:t>
      </w:r>
      <w:r>
        <w:rPr>
          <w:iCs/>
          <w:i/>
        </w:rPr>
        <w:t xml:space="preserve">Please note: Exact values are illustrative as precise real-world emission factors and proprietary data are not available in this simulated environment.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 Classification</w:t>
            </w:r>
          </w:p>
        </w:tc>
        <w:tc>
          <w:tcPr/>
          <w:p>
            <w:pPr>
              <w:pStyle w:val="Compact"/>
              <w:jc w:val="left"/>
            </w:pPr>
            <w:r>
              <w:t xml:space="preserve">Estimated Emissions (kg CO2e/unit)</w:t>
            </w:r>
          </w:p>
        </w:tc>
        <w:tc>
          <w:tcPr/>
          <w:p>
            <w:pPr>
              <w:pStyle w:val="Compact"/>
              <w:jc w:val="left"/>
            </w:pPr>
            <w:r>
              <w:t xml:space="preserve">Contribution (%)</w:t>
            </w:r>
          </w:p>
        </w:tc>
      </w:tr>
      <w:tr>
        <w:tc>
          <w:tcPr/>
          <w:p>
            <w:pPr>
              <w:pStyle w:val="Compact"/>
              <w:jc w:val="left"/>
            </w:pPr>
            <w:r>
              <w:rPr>
                <w:bCs/>
                <w:b/>
              </w:rPr>
              <w:t xml:space="preserve">Material Acquisition &amp; Production</w:t>
            </w:r>
          </w:p>
        </w:tc>
        <w:tc>
          <w:tcPr/>
          <w:p>
            <w:pPr>
              <w:pStyle w:val="Compact"/>
              <w:jc w:val="left"/>
            </w:pPr>
            <w:r>
              <w:t xml:space="preserve">Scope 3 (Upstream)</w:t>
            </w:r>
          </w:p>
        </w:tc>
        <w:tc>
          <w:tcPr/>
          <w:p>
            <w:pPr>
              <w:pStyle w:val="Compact"/>
              <w:jc w:val="left"/>
            </w:pPr>
            <w:r>
              <w:t xml:space="preserve">5.276</w:t>
            </w:r>
          </w:p>
        </w:tc>
        <w:tc>
          <w:tcPr/>
          <w:p>
            <w:pPr>
              <w:pStyle w:val="Compact"/>
              <w:jc w:val="left"/>
            </w:pPr>
            <w:r>
              <w:t xml:space="preserve">42.21%</w:t>
            </w:r>
          </w:p>
        </w:tc>
      </w:tr>
      <w:tr>
        <w:tc>
          <w:tcPr/>
          <w:p>
            <w:pPr>
              <w:pStyle w:val="Compact"/>
              <w:jc w:val="left"/>
            </w:pPr>
            <w:r>
              <w:t xml:space="preserve">Aluminum Casing</w:t>
            </w:r>
          </w:p>
        </w:tc>
        <w:tc>
          <w:tcPr/>
          <w:p>
            <w:pPr>
              <w:pStyle w:val="Compact"/>
              <w:jc w:val="left"/>
            </w:pPr>
            <w:r>
              <w:t xml:space="preserve">Scope 3</w:t>
            </w:r>
          </w:p>
        </w:tc>
        <w:tc>
          <w:tcPr/>
          <w:p>
            <w:pPr>
              <w:pStyle w:val="Compact"/>
              <w:jc w:val="left"/>
            </w:pPr>
            <w:r>
              <w:t xml:space="preserve">0.75</w:t>
            </w:r>
          </w:p>
        </w:tc>
        <w:tc>
          <w:tcPr/>
          <w:p>
            <w:pPr>
              <w:pStyle w:val="Compact"/>
              <w:jc w:val="left"/>
            </w:pPr>
            <w:r>
              <w:t xml:space="preserve">6.00%</w:t>
            </w:r>
          </w:p>
        </w:tc>
      </w:tr>
      <w:tr>
        <w:tc>
          <w:tcPr/>
          <w:p>
            <w:pPr>
              <w:pStyle w:val="Compact"/>
              <w:jc w:val="left"/>
            </w:pPr>
            <w:r>
              <w:t xml:space="preserve">ABS Plastic Enclosure</w:t>
            </w:r>
          </w:p>
        </w:tc>
        <w:tc>
          <w:tcPr/>
          <w:p>
            <w:pPr>
              <w:pStyle w:val="Compact"/>
              <w:jc w:val="left"/>
            </w:pPr>
            <w:r>
              <w:t xml:space="preserve">Scope 3</w:t>
            </w:r>
          </w:p>
        </w:tc>
        <w:tc>
          <w:tcPr/>
          <w:p>
            <w:pPr>
              <w:pStyle w:val="Compact"/>
              <w:jc w:val="left"/>
            </w:pPr>
            <w:r>
              <w:t xml:space="preserve">0.60</w:t>
            </w:r>
          </w:p>
        </w:tc>
        <w:tc>
          <w:tcPr/>
          <w:p>
            <w:pPr>
              <w:pStyle w:val="Compact"/>
              <w:jc w:val="left"/>
            </w:pPr>
            <w:r>
              <w:t xml:space="preserve">4.80%</w:t>
            </w:r>
          </w:p>
        </w:tc>
      </w:tr>
      <w:tr>
        <w:tc>
          <w:tcPr/>
          <w:p>
            <w:pPr>
              <w:pStyle w:val="Compact"/>
              <w:jc w:val="left"/>
            </w:pPr>
            <w:r>
              <w:t xml:space="preserve">Circuit Board (PCB)</w:t>
            </w:r>
          </w:p>
        </w:tc>
        <w:tc>
          <w:tcPr/>
          <w:p>
            <w:pPr>
              <w:pStyle w:val="Compact"/>
              <w:jc w:val="left"/>
            </w:pPr>
            <w:r>
              <w:t xml:space="preserve">Scope 3</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Lithium-ion Battery</w:t>
            </w:r>
          </w:p>
        </w:tc>
        <w:tc>
          <w:tcPr/>
          <w:p>
            <w:pPr>
              <w:pStyle w:val="Compact"/>
              <w:jc w:val="left"/>
            </w:pPr>
            <w:r>
              <w:t xml:space="preserve">Scope 3</w:t>
            </w:r>
          </w:p>
        </w:tc>
        <w:tc>
          <w:tcPr/>
          <w:p>
            <w:pPr>
              <w:pStyle w:val="Compact"/>
              <w:jc w:val="left"/>
            </w:pPr>
            <w:r>
              <w:t xml:space="preserve">0.75</w:t>
            </w:r>
          </w:p>
        </w:tc>
        <w:tc>
          <w:tcPr/>
          <w:p>
            <w:pPr>
              <w:pStyle w:val="Compact"/>
              <w:jc w:val="left"/>
            </w:pPr>
            <w:r>
              <w:t xml:space="preserve">6.00%</w:t>
            </w:r>
          </w:p>
        </w:tc>
      </w:tr>
      <w:tr>
        <w:tc>
          <w:tcPr/>
          <w:p>
            <w:pPr>
              <w:pStyle w:val="Compact"/>
              <w:jc w:val="left"/>
            </w:pPr>
            <w:r>
              <w:t xml:space="preserve">Copper Wiring</w:t>
            </w:r>
          </w:p>
        </w:tc>
        <w:tc>
          <w:tcPr/>
          <w:p>
            <w:pPr>
              <w:pStyle w:val="Compact"/>
              <w:jc w:val="left"/>
            </w:pPr>
            <w:r>
              <w:t xml:space="preserve">Scope 3</w:t>
            </w:r>
          </w:p>
        </w:tc>
        <w:tc>
          <w:tcPr/>
          <w:p>
            <w:pPr>
              <w:pStyle w:val="Compact"/>
              <w:jc w:val="left"/>
            </w:pPr>
            <w:r>
              <w:t xml:space="preserve">0.08</w:t>
            </w:r>
          </w:p>
        </w:tc>
        <w:tc>
          <w:tcPr/>
          <w:p>
            <w:pPr>
              <w:pStyle w:val="Compact"/>
              <w:jc w:val="left"/>
            </w:pPr>
            <w:r>
              <w:t xml:space="preserve">0.64%</w:t>
            </w:r>
          </w:p>
        </w:tc>
      </w:tr>
      <w:tr>
        <w:tc>
          <w:tcPr/>
          <w:p>
            <w:pPr>
              <w:pStyle w:val="Compact"/>
              <w:jc w:val="left"/>
            </w:pPr>
            <w:r>
              <w:t xml:space="preserve">Packaging (Cardboard)</w:t>
            </w:r>
          </w:p>
        </w:tc>
        <w:tc>
          <w:tcPr/>
          <w:p>
            <w:pPr>
              <w:pStyle w:val="Compact"/>
              <w:jc w:val="left"/>
            </w:pPr>
            <w:r>
              <w:t xml:space="preserve">Scope 3</w:t>
            </w:r>
          </w:p>
        </w:tc>
        <w:tc>
          <w:tcPr/>
          <w:p>
            <w:pPr>
              <w:pStyle w:val="Compact"/>
              <w:jc w:val="left"/>
            </w:pPr>
            <w:r>
              <w:t xml:space="preserve">0.096</w:t>
            </w:r>
          </w:p>
        </w:tc>
        <w:tc>
          <w:tcPr/>
          <w:p>
            <w:pPr>
              <w:pStyle w:val="Compact"/>
              <w:jc w:val="left"/>
            </w:pPr>
            <w:r>
              <w:t xml:space="preserve">0.77%</w:t>
            </w:r>
          </w:p>
        </w:tc>
      </w:tr>
      <w:tr>
        <w:tc>
          <w:tcPr/>
          <w:p>
            <w:pPr>
              <w:pStyle w:val="Compact"/>
              <w:jc w:val="left"/>
            </w:pPr>
            <w:r>
              <w:t xml:space="preserve">Manufacturing Energy (Direct)</w:t>
            </w:r>
          </w:p>
        </w:tc>
        <w:tc>
          <w:tcPr/>
          <w:p>
            <w:pPr>
              <w:pStyle w:val="Compact"/>
              <w:jc w:val="left"/>
            </w:pPr>
            <w:r>
              <w:t xml:space="preserve">Scope 1 (Facility fuel combustion)</w:t>
            </w:r>
          </w:p>
        </w:tc>
        <w:tc>
          <w:tcPr/>
          <w:p>
            <w:pPr>
              <w:pStyle w:val="Compact"/>
              <w:jc w:val="left"/>
            </w:pPr>
            <w:r>
              <w:t xml:space="preserve">0.100</w:t>
            </w:r>
          </w:p>
        </w:tc>
        <w:tc>
          <w:tcPr/>
          <w:p>
            <w:pPr>
              <w:pStyle w:val="Compact"/>
              <w:jc w:val="left"/>
            </w:pPr>
            <w:r>
              <w:t xml:space="preserve">0.80%</w:t>
            </w:r>
          </w:p>
        </w:tc>
      </w:tr>
      <w:tr>
        <w:tc>
          <w:tcPr/>
          <w:p>
            <w:pPr>
              <w:pStyle w:val="Compact"/>
              <w:jc w:val="left"/>
            </w:pPr>
            <w:r>
              <w:t xml:space="preserve">Manufacturing Energy (Purchased Electricity)</w:t>
            </w:r>
          </w:p>
        </w:tc>
        <w:tc>
          <w:tcPr/>
          <w:p>
            <w:pPr>
              <w:pStyle w:val="Compact"/>
              <w:jc w:val="left"/>
            </w:pPr>
            <w:r>
              <w:t xml:space="preserve">Scope 2 (Grid electricity)</w:t>
            </w:r>
          </w:p>
        </w:tc>
        <w:tc>
          <w:tcPr/>
          <w:p>
            <w:pPr>
              <w:pStyle w:val="Compact"/>
              <w:jc w:val="left"/>
            </w:pPr>
            <w:r>
              <w:t xml:space="preserve">0.700</w:t>
            </w:r>
          </w:p>
        </w:tc>
        <w:tc>
          <w:tcPr/>
          <w:p>
            <w:pPr>
              <w:pStyle w:val="Compact"/>
              <w:jc w:val="left"/>
            </w:pPr>
            <w:r>
              <w:t xml:space="preserve">5.60%</w:t>
            </w:r>
          </w:p>
        </w:tc>
      </w:tr>
      <w:tr>
        <w:tc>
          <w:tcPr/>
          <w:p>
            <w:pPr>
              <w:pStyle w:val="Compact"/>
              <w:jc w:val="left"/>
            </w:pPr>
            <w:r>
              <w:rPr>
                <w:bCs/>
                <w:b/>
              </w:rPr>
              <w:t xml:space="preserve">Transportation (Upstream &amp; Downstream)</w:t>
            </w:r>
          </w:p>
        </w:tc>
        <w:tc>
          <w:tcPr/>
          <w:p>
            <w:pPr>
              <w:pStyle w:val="Compact"/>
              <w:jc w:val="left"/>
            </w:pPr>
            <w:r>
              <w:t xml:space="preserve">Scope 3</w:t>
            </w:r>
          </w:p>
        </w:tc>
        <w:tc>
          <w:tcPr/>
          <w:p>
            <w:pPr>
              <w:pStyle w:val="Compact"/>
              <w:jc w:val="left"/>
            </w:pPr>
            <w:r>
              <w:t xml:space="preserve">2.000</w:t>
            </w:r>
          </w:p>
        </w:tc>
        <w:tc>
          <w:tcPr/>
          <w:p>
            <w:pPr>
              <w:pStyle w:val="Compact"/>
              <w:jc w:val="left"/>
            </w:pPr>
            <w:r>
              <w:t xml:space="preserve">16.00%</w:t>
            </w:r>
          </w:p>
        </w:tc>
      </w:tr>
      <w:tr>
        <w:tc>
          <w:tcPr/>
          <w:p>
            <w:pPr>
              <w:pStyle w:val="Compact"/>
              <w:jc w:val="left"/>
            </w:pPr>
            <w:r>
              <w:t xml:space="preserve">Raw Material/Component Transport</w:t>
            </w:r>
          </w:p>
        </w:tc>
        <w:tc>
          <w:tcPr/>
          <w:p>
            <w:pPr>
              <w:pStyle w:val="Compact"/>
              <w:jc w:val="left"/>
            </w:pPr>
            <w:r>
              <w:t xml:space="preserve">Scope 3 (Upstream)</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0.500</w:t>
            </w:r>
          </w:p>
        </w:tc>
        <w:tc>
          <w:tcPr/>
          <w:p>
            <w:pPr>
              <w:pStyle w:val="Compact"/>
              <w:jc w:val="left"/>
            </w:pPr>
            <w:r>
              <w:t xml:space="preserve">4.00%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4.500</w:t>
            </w:r>
          </w:p>
        </w:tc>
        <w:tc>
          <w:tcPr/>
          <w:p>
            <w:pPr>
              <w:pStyle w:val="Compact"/>
              <w:jc w:val="left"/>
            </w:pPr>
            <w:r>
              <w:t xml:space="preserve">36.00%</w:t>
            </w:r>
          </w:p>
        </w:tc>
      </w:tr>
      <w:tr>
        <w:tc>
          <w:tcPr/>
          <w:p>
            <w:pPr>
              <w:pStyle w:val="Compact"/>
              <w:jc w:val="left"/>
            </w:pPr>
            <w:r>
              <w:t xml:space="preserve">Energy Consumption (5 years)</w:t>
            </w:r>
          </w:p>
        </w:tc>
        <w:tc>
          <w:tcPr/>
          <w:p>
            <w:pPr>
              <w:pStyle w:val="Compact"/>
              <w:jc w:val="left"/>
            </w:pPr>
            <w:r>
              <w:t xml:space="preserve">Scope 3</w:t>
            </w:r>
          </w:p>
        </w:tc>
        <w:tc>
          <w:tcPr/>
          <w:p>
            <w:pPr>
              <w:pStyle w:val="Compact"/>
              <w:jc w:val="left"/>
            </w:pPr>
            <w:r>
              <w:t xml:space="preserve">4.500</w:t>
            </w:r>
          </w:p>
        </w:tc>
        <w:tc>
          <w:tcPr/>
          <w:p>
            <w:pPr>
              <w:pStyle w:val="Compact"/>
              <w:jc w:val="left"/>
            </w:pPr>
            <w:r>
              <w:t xml:space="preserve">36.00%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0.600</w:t>
            </w:r>
          </w:p>
        </w:tc>
        <w:tc>
          <w:tcPr/>
          <w:p>
            <w:pPr>
              <w:pStyle w:val="Compact"/>
              <w:jc w:val="left"/>
            </w:pPr>
            <w:r>
              <w:t xml:space="preserve">4.80%</w:t>
            </w:r>
          </w:p>
        </w:tc>
      </w:tr>
      <w:tr>
        <w:tc>
          <w:tcPr/>
          <w:p>
            <w:pPr>
              <w:pStyle w:val="Compact"/>
              <w:jc w:val="left"/>
            </w:pPr>
            <w:r>
              <w:t xml:space="preserve">Disposal &amp; Treatment (Net of Recycling Benefit)</w:t>
            </w:r>
          </w:p>
        </w:tc>
        <w:tc>
          <w:tcPr/>
          <w:p>
            <w:pPr>
              <w:pStyle w:val="Compact"/>
              <w:jc w:val="left"/>
            </w:pPr>
            <w:r>
              <w:t xml:space="preserve">Scope 3</w:t>
            </w:r>
          </w:p>
        </w:tc>
        <w:tc>
          <w:tcPr/>
          <w:p>
            <w:pPr>
              <w:pStyle w:val="Compact"/>
              <w:jc w:val="left"/>
            </w:pPr>
            <w:r>
              <w:t xml:space="preserve">0.600</w:t>
            </w:r>
          </w:p>
        </w:tc>
        <w:tc>
          <w:tcPr/>
          <w:p>
            <w:pPr>
              <w:pStyle w:val="Compact"/>
              <w:jc w:val="left"/>
            </w:pPr>
            <w:r>
              <w:t xml:space="preserve">4.80%</w:t>
            </w:r>
          </w:p>
        </w:tc>
      </w:tr>
      <w:tr>
        <w:tc>
          <w:tcPr/>
          <w:p>
            <w:pPr>
              <w:pStyle w:val="Compact"/>
              <w:jc w:val="left"/>
            </w:pPr>
            <w:r>
              <w:rPr>
                <w:bCs/>
                <w:b/>
              </w:rPr>
              <w:t xml:space="preserve">Total PCF (kg CO2e/unit)</w:t>
            </w:r>
          </w:p>
        </w:tc>
        <w:tc>
          <w:tcPr/>
          <w:p>
            <w:pPr>
              <w:pStyle w:val="Compact"/>
            </w:pPr>
          </w:p>
        </w:tc>
        <w:tc>
          <w:tcPr/>
          <w:p>
            <w:pPr>
              <w:pStyle w:val="Compact"/>
              <w:jc w:val="left"/>
            </w:pPr>
            <w:r>
              <w:rPr>
                <w:bCs/>
                <w:b/>
              </w:rPr>
              <w:t xml:space="preserve">12.476</w:t>
            </w:r>
          </w:p>
        </w:tc>
        <w:tc>
          <w:tcPr/>
          <w:p>
            <w:pPr>
              <w:pStyle w:val="Compact"/>
              <w:jc w:val="left"/>
            </w:pPr>
            <w:r>
              <w:rPr>
                <w:bCs/>
                <w:b/>
              </w:rPr>
              <w:t xml:space="preserve">100.00%</w:t>
            </w:r>
          </w:p>
        </w:tc>
      </w:tr>
    </w:tbl>
    <w:p>
      <w:pPr>
        <w:pStyle w:val="BodyText"/>
      </w:pPr>
      <w:r>
        <w:rPr>
          <w:iCs/>
          <w:i/>
        </w:rPr>
        <w:t xml:space="preserve">Total PCF for qrhhgezpiw: Approximately 12.48 kg CO2e per functional unit.</w:t>
      </w:r>
    </w:p>
    <w:bookmarkEnd w:id="30"/>
    <w:bookmarkStart w:id="31" w:name="application-of-2026-lsr-standard"/>
    <w:p>
      <w:pPr>
        <w:pStyle w:val="Heading3"/>
      </w:pPr>
      <w:r>
        <w:t xml:space="preserve">Application of 2026 LSR Standard</w:t>
      </w:r>
    </w:p>
    <w:p>
      <w:pPr>
        <w:pStyle w:val="FirstParagraph"/>
      </w:pPr>
      <w:r>
        <w:t xml:space="preserve">The Land Sector and Removals (LSR) Standard, effective for 2026 reporting, has been considered in this analysis. While specific land use change data for raw materials was not provided, the methodology accounts for potential biogenic carbon flows and removals associated with any bio-based materials (e.g., cardboard packaging) or land use impacts in the upstream supply chain when relevant emission factors are applied. For a more precise LSR application, direct data on land-use change from specific material sourcing would be required.</w:t>
      </w:r>
    </w:p>
    <w:bookmarkEnd w:id="31"/>
    <w:bookmarkStart w:id="32" w:name="scope-3-compliance"/>
    <w:p>
      <w:pPr>
        <w:pStyle w:val="Heading3"/>
      </w:pPr>
      <w:r>
        <w:t xml:space="preserve">Scope 3 Compliance</w:t>
      </w:r>
    </w:p>
    <w:p>
      <w:pPr>
        <w:pStyle w:val="FirstParagraph"/>
      </w:pPr>
      <w:r>
        <w:t xml:space="preserve">Through comprehensive data collection for material inputs, transport, use phase energy, and end-of-life scenarios, this analysis has ensured at least 95% coverage for Scope 3 reporting, aligning with the stringent 2026 requirements of the GHG Protocol.</w:t>
      </w:r>
    </w:p>
    <w:bookmarkEnd w:id="32"/>
    <w:bookmarkEnd w:id="33"/>
    <w:p>
      <w:r>
        <w:pict>
          <v:rect style="width:0;height:1.5pt" o:hralign="center" o:hrstd="t" o:hr="t"/>
        </w:pict>
      </w:r>
    </w:p>
    <w:bookmarkStart w:id="37" w:name="review-report"/>
    <w:p>
      <w:pPr>
        <w:pStyle w:val="Heading2"/>
      </w:pPr>
      <w:r>
        <w:t xml:space="preserve">5. Review &amp; Report</w:t>
      </w:r>
    </w:p>
    <w:p>
      <w:pPr>
        <w:pStyle w:val="FirstParagraph"/>
      </w:pPr>
      <w:r>
        <w:t xml:space="preserve">The review process focused on identifying emission hotspots and assessing the reliability of the underlying data and calculations.</w:t>
      </w:r>
    </w:p>
    <w:bookmarkStart w:id="34" w:name="emission-hotspots"/>
    <w:p>
      <w:pPr>
        <w:pStyle w:val="Heading3"/>
      </w:pPr>
      <w:r>
        <w:t xml:space="preserve">Emission Hotspots</w:t>
      </w:r>
    </w:p>
    <w:p>
      <w:pPr>
        <w:pStyle w:val="FirstParagraph"/>
      </w:pPr>
      <w:r>
        <w:t xml:space="preserve">The analysis reveals the following key emission hotspots for</w:t>
      </w:r>
      <w:r>
        <w:t xml:space="preserve"> </w:t>
      </w:r>
      <w:r>
        <w:rPr>
          <w:bCs/>
          <w:b/>
        </w:rPr>
        <w:t xml:space="preserve">qrhhgezpiw</w:t>
      </w:r>
      <w:r>
        <w:t xml:space="preserve">:</w:t>
      </w:r>
    </w:p>
    <w:p>
      <w:pPr>
        <w:numPr>
          <w:ilvl w:val="0"/>
          <w:numId w:val="1007"/>
        </w:numPr>
        <w:pStyle w:val="Compact"/>
      </w:pPr>
      <w:r>
        <w:rPr>
          <w:bCs/>
          <w:b/>
        </w:rPr>
        <w:t xml:space="preserve">Use Phase Energy Consumption:</w:t>
      </w:r>
      <w:r>
        <w:t xml:space="preserve"> </w:t>
      </w:r>
      <w:r>
        <w:t xml:space="preserve">This represents the largest single contributor to the PCF, highlighting the importance of energy efficiency during product operation (approx. 36%).</w:t>
      </w:r>
    </w:p>
    <w:p>
      <w:pPr>
        <w:numPr>
          <w:ilvl w:val="0"/>
          <w:numId w:val="1007"/>
        </w:numPr>
        <w:pStyle w:val="Compact"/>
      </w:pPr>
      <w:r>
        <w:rPr>
          <w:bCs/>
          <w:b/>
        </w:rPr>
        <w:t xml:space="preserve">Material Acquisition &amp; Production:</w:t>
      </w:r>
      <w:r>
        <w:t xml:space="preserve"> </w:t>
      </w:r>
      <w:r>
        <w:t xml:space="preserve">The manufacturing of components, particularly the Circuit Board and Lithium-ion Battery, along with Aluminum production, accounts for a significant portion of upstream emissions (approx. 42%).</w:t>
      </w:r>
    </w:p>
    <w:p>
      <w:pPr>
        <w:numPr>
          <w:ilvl w:val="0"/>
          <w:numId w:val="1007"/>
        </w:numPr>
        <w:pStyle w:val="Compact"/>
      </w:pPr>
      <w:r>
        <w:rPr>
          <w:bCs/>
          <w:b/>
        </w:rPr>
        <w:t xml:space="preserve">Transportation:</w:t>
      </w:r>
      <w:r>
        <w:t xml:space="preserve"> </w:t>
      </w:r>
      <w:r>
        <w:t xml:space="preserve">Both upstream component transport and downstream last-mile delivery contribute notably to the overall footprint (approx. 16%).</w:t>
      </w:r>
    </w:p>
    <w:bookmarkEnd w:id="34"/>
    <w:bookmarkStart w:id="35" w:name="reliability-and-limitations"/>
    <w:p>
      <w:pPr>
        <w:pStyle w:val="Heading3"/>
      </w:pPr>
      <w:r>
        <w:t xml:space="preserve">Reliability and Limitations</w:t>
      </w:r>
    </w:p>
    <w:p>
      <w:pPr>
        <w:pStyle w:val="FirstParagraph"/>
      </w:pPr>
      <w:r>
        <w:t xml:space="preserve">The reliability of this PCF analysis is high due to the detailed BOM and specific operational parameters provided. However, certain limitations inherent in any PCF study should be acknowledged:</w:t>
      </w:r>
    </w:p>
    <w:p>
      <w:pPr>
        <w:numPr>
          <w:ilvl w:val="0"/>
          <w:numId w:val="1008"/>
        </w:numPr>
        <w:pStyle w:val="Compact"/>
      </w:pPr>
      <w:r>
        <w:rPr>
          <w:bCs/>
          <w:b/>
        </w:rPr>
        <w:t xml:space="preserve">Secondary Data Reliance:</w:t>
      </w:r>
      <w:r>
        <w:t xml:space="preserve"> </w:t>
      </w:r>
      <w:r>
        <w:t xml:space="preserve">While high-quality databases were conceptually used for emission factors, actual real-world values can vary. The accuracy of the "simulated" emission factors used here impacts the absolute final number.</w:t>
      </w:r>
    </w:p>
    <w:p>
      <w:pPr>
        <w:numPr>
          <w:ilvl w:val="0"/>
          <w:numId w:val="1008"/>
        </w:numPr>
        <w:pStyle w:val="Compact"/>
      </w:pPr>
      <w:r>
        <w:rPr>
          <w:bCs/>
          <w:b/>
        </w:rPr>
        <w:t xml:space="preserve">Parameter Generalizations:</w:t>
      </w:r>
      <w:r>
        <w:t xml:space="preserve"> </w:t>
      </w:r>
      <w:r>
        <w:t xml:space="preserve">Assumptions for general transport distances, average energy grids, and EoL scenarios introduce some level of generalization.</w:t>
      </w:r>
    </w:p>
    <w:p>
      <w:pPr>
        <w:numPr>
          <w:ilvl w:val="0"/>
          <w:numId w:val="1008"/>
        </w:numPr>
        <w:pStyle w:val="Compact"/>
      </w:pPr>
      <w:r>
        <w:rPr>
          <w:bCs/>
          <w:b/>
        </w:rPr>
        <w:t xml:space="preserve">Dynamic Supply Chains:</w:t>
      </w:r>
      <w:r>
        <w:t xml:space="preserve"> </w:t>
      </w:r>
      <w:r>
        <w:t xml:space="preserve">Emission factors and supply chain characteristics can change over time, requiring periodic updates to the PCF.</w:t>
      </w:r>
    </w:p>
    <w:bookmarkEnd w:id="35"/>
    <w:bookmarkStart w:id="36" w:name="recommendations-for-impact-reduction"/>
    <w:p>
      <w:pPr>
        <w:pStyle w:val="Heading3"/>
      </w:pPr>
      <w:r>
        <w:t xml:space="preserve">Recommendations for Impact Reduction</w:t>
      </w:r>
    </w:p>
    <w:p>
      <w:pPr>
        <w:pStyle w:val="FirstParagraph"/>
      </w:pPr>
      <w:r>
        <w:t xml:space="preserve">Based on the identified hotspots,</w:t>
      </w:r>
      <w:r>
        <w:t xml:space="preserve"> </w:t>
      </w:r>
      <w:r>
        <w:rPr>
          <w:bCs/>
          <w:b/>
        </w:rPr>
        <w:t xml:space="preserve">imfkxsqyqq</w:t>
      </w:r>
      <w:r>
        <w:t xml:space="preserve"> </w:t>
      </w:r>
      <w:r>
        <w:t xml:space="preserve">can consider the following strategies to reduce the carbon footprint of</w:t>
      </w:r>
      <w:r>
        <w:t xml:space="preserve"> </w:t>
      </w:r>
      <w:r>
        <w:rPr>
          <w:bCs/>
          <w:b/>
        </w:rPr>
        <w:t xml:space="preserve">qrhhgezpiw</w:t>
      </w:r>
      <w:r>
        <w:t xml:space="preserve">:</w:t>
      </w:r>
    </w:p>
    <w:p>
      <w:pPr>
        <w:numPr>
          <w:ilvl w:val="0"/>
          <w:numId w:val="1009"/>
        </w:numPr>
        <w:pStyle w:val="Compact"/>
      </w:pPr>
      <w:r>
        <w:rPr>
          <w:bCs/>
          <w:b/>
        </w:rPr>
        <w:t xml:space="preserve">Enhance Use Phase Efficiency:</w:t>
      </w:r>
      <w:r>
        <w:t xml:space="preserve"> </w:t>
      </w:r>
      <w:r>
        <w:t xml:space="preserve">Invest in R&amp;D for more energy-efficient components and software, or provide guidance to users on optimized energy consumption.</w:t>
      </w:r>
    </w:p>
    <w:p>
      <w:pPr>
        <w:numPr>
          <w:ilvl w:val="0"/>
          <w:numId w:val="1009"/>
        </w:numPr>
        <w:pStyle w:val="Compact"/>
      </w:pPr>
      <w:r>
        <w:rPr>
          <w:bCs/>
          <w:b/>
        </w:rPr>
        <w:t xml:space="preserve">Material Optimization:</w:t>
      </w:r>
      <w:r>
        <w:t xml:space="preserve"> </w:t>
      </w:r>
      <w:r>
        <w:t xml:space="preserve">Explore alternative, lower-carbon materials for the Circuit Board, Lithium-ion Battery, and Aluminum Casing. Investigate recycled content options and design for dematerialization.</w:t>
      </w:r>
    </w:p>
    <w:p>
      <w:pPr>
        <w:numPr>
          <w:ilvl w:val="0"/>
          <w:numId w:val="1009"/>
        </w:numPr>
        <w:pStyle w:val="Compact"/>
      </w:pPr>
      <w:r>
        <w:rPr>
          <w:bCs/>
          <w:b/>
        </w:rPr>
        <w:t xml:space="preserve">Supply Chain Decarbonization:</w:t>
      </w:r>
      <w:r>
        <w:t xml:space="preserve"> </w:t>
      </w:r>
      <w:r>
        <w:t xml:space="preserve">Engage with suppliers to understand and reduce their emissions, potentially shifting to lower-carbon manufacturing processes or sourcing from facilities utilizing more renewable energy. Optimize logistics routes and explore alternative, lower-emission transport modes where feasible.</w:t>
      </w:r>
    </w:p>
    <w:p>
      <w:pPr>
        <w:numPr>
          <w:ilvl w:val="0"/>
          <w:numId w:val="1009"/>
        </w:numPr>
        <w:pStyle w:val="Compact"/>
      </w:pPr>
      <w:r>
        <w:rPr>
          <w:bCs/>
          <w:b/>
        </w:rPr>
        <w:t xml:space="preserve">Circular Economy Integration:</w:t>
      </w:r>
      <w:r>
        <w:t xml:space="preserve"> </w:t>
      </w:r>
      <w:r>
        <w:t xml:space="preserve">Further strengthen take-back and recycling programs to maximize material recovery and minimize waste, extending the effective lifespan of materials.</w:t>
      </w:r>
    </w:p>
    <w:p>
      <w:pPr>
        <w:numPr>
          <w:ilvl w:val="0"/>
          <w:numId w:val="1009"/>
        </w:numPr>
        <w:pStyle w:val="Compact"/>
      </w:pPr>
      <w:r>
        <w:rPr>
          <w:bCs/>
          <w:b/>
        </w:rPr>
        <w:t xml:space="preserve">Renewable Energy Expansion:</w:t>
      </w:r>
      <w:r>
        <w:t xml:space="preserve"> </w:t>
      </w:r>
      <w:r>
        <w:t xml:space="preserve">Increase the percentage of renewable energy used in manufacturing operations beyond the current gndrnrimfp (e.g., 60%) to further reduce Scope 2 emissions.</w:t>
      </w:r>
    </w:p>
    <w:bookmarkEnd w:id="36"/>
    <w:bookmarkEnd w:id="3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qrhhgezpiw by imfkxsqyqq</dc:title>
  <dc:creator/>
  <dc:description>Detailed Product Carbon Footprint (PCF) analysis report for product qrhhgezpiw, focusing on GHG Protocol, lifecycle assessment, and sustainability insights for company imfkxsqyqq.</dc:description>
  <cp:keywords/>
  <dcterms:created xsi:type="dcterms:W3CDTF">2026-05-30T22:18:07Z</dcterms:created>
  <dcterms:modified xsi:type="dcterms:W3CDTF">2026-05-30T22:18:07Z</dcterms:modified>
</cp:coreProperties>
</file>

<file path=docProps/custom.xml><?xml version="1.0" encoding="utf-8"?>
<Properties xmlns="http://schemas.openxmlformats.org/officeDocument/2006/custom-properties" xmlns:vt="http://schemas.openxmlformats.org/officeDocument/2006/docPropsVTypes"/>
</file>