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qqfxvlgmnx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qqfxvlgmnx</w:t>
      </w:r>
    </w:p>
    <w:p>
      <w:pPr>
        <w:pStyle w:val="BodyText"/>
      </w:pPr>
      <w:r>
        <w:rPr>
          <w:bCs/>
          <w:b/>
        </w:rPr>
        <w:t xml:space="preserve">Company:</w:t>
      </w:r>
      <w:r>
        <w:t xml:space="preserve"> </w:t>
      </w:r>
      <w:r>
        <w:t xml:space="preserve">uqonxevide</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mjysvuxghi</w:t>
      </w:r>
    </w:p>
    <w:p>
      <w:pPr>
        <w:pStyle w:val="BodyText"/>
      </w:pPr>
      <w:r>
        <w:t xml:space="preserve">Disclaimer: This report is generated based on available data and industry standards. While efforts have been made to ensure accuracy, the actual carbon footprint may vary based on real-time operational data and evolving methodologies. This analysis serves as a high-level assessment for strategic decision-making.</w:t>
      </w:r>
    </w:p>
    <w:bookmarkEnd w:id="20"/>
    <w:p>
      <w:pPr>
        <w:pStyle w:val="BodyText"/>
      </w:pPr>
      <w:r>
        <w:t xml:space="preserve">Generated Date: May 20, 2026</w:t>
      </w:r>
    </w:p>
    <w:bookmarkStart w:id="49" w:name="X4ded5923e1b3959dd0810fc496a2d5ce3119cb9"/>
    <w:p>
      <w:pPr>
        <w:pStyle w:val="Heading1"/>
      </w:pPr>
      <w:r>
        <w:t xml:space="preserve">Product Carbon Footprint Analysis for qqfxvlgmnx</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\'qqfxvlgmnx\' manufactured by \'uqonxevide\'. Prepared by Senior Sustainability Consultant \'mjysvuxghi\', the analysis adheres to the Greenhouse Gas (GHG) Protocol, incorporating the 2026 Land Sector and Removals (LSR) Standard and targeting at least 95% Scope 3 coverage. The PCF quantifies the total greenhouse gas emissions associated with the product\'s lifecycle from raw material acquisition through manufacturing, transport, use, and end-of-life, expressed in kilograms of carbon dioxide equivalents (kgCO2e) per functional unit (1.0 unit). Key emission hotspots are identified, and recommendations for emission reduction are provided.</w:t>
      </w:r>
    </w:p>
    <w:bookmarkEnd w:id="21"/>
    <w:bookmarkStart w:id="27" w:name="introduction-and-scope-definition"/>
    <w:p>
      <w:pPr>
        <w:pStyle w:val="Heading2"/>
      </w:pPr>
      <w:r>
        <w:t xml:space="preserve">1. Introduction and Scope Definition</w:t>
      </w:r>
    </w:p>
    <w:p>
      <w:pPr>
        <w:pStyle w:val="FirstParagraph"/>
      </w:pPr>
      <w:r>
        <w:t xml:space="preserve">This Product Carbon Footprint (PCF) analysis for \'qqfxvlgmnx\' by \'uqonxevide\' provides a comprehensive assessment of its environmental impact. The methodology aligns with the GHG Protocol, ensuring a standardized and transparent approach to emissions quantification.</w:t>
      </w:r>
    </w:p>
    <w:bookmarkStart w:id="22" w:name="product-and-company-details"/>
    <w:p>
      <w:pPr>
        <w:pStyle w:val="Heading3"/>
      </w:pPr>
      <w:r>
        <w:t xml:space="preserve">1.1. Product and Company Details</w:t>
      </w:r>
    </w:p>
    <w:p>
      <w:pPr>
        <w:numPr>
          <w:ilvl w:val="0"/>
          <w:numId w:val="1001"/>
        </w:numPr>
        <w:pStyle w:val="Compact"/>
      </w:pPr>
      <w:r>
        <w:rPr>
          <w:bCs/>
          <w:b/>
        </w:rPr>
        <w:t xml:space="preserve">Product Name:</w:t>
      </w:r>
      <w:r>
        <w:t xml:space="preserve"> </w:t>
      </w:r>
      <w:r>
        <w:t xml:space="preserve">qqfxvlgmnx</w:t>
      </w:r>
    </w:p>
    <w:p>
      <w:pPr>
        <w:numPr>
          <w:ilvl w:val="0"/>
          <w:numId w:val="1001"/>
        </w:numPr>
        <w:pStyle w:val="Compact"/>
      </w:pPr>
      <w:r>
        <w:rPr>
          <w:bCs/>
          <w:b/>
        </w:rPr>
        <w:t xml:space="preserve">Company Name:</w:t>
      </w:r>
      <w:r>
        <w:t xml:space="preserve"> </w:t>
      </w:r>
      <w:r>
        <w:t xml:space="preserve">uqonxevide</w:t>
      </w:r>
    </w:p>
    <w:p>
      <w:pPr>
        <w:numPr>
          <w:ilvl w:val="0"/>
          <w:numId w:val="1001"/>
        </w:numPr>
        <w:pStyle w:val="Compact"/>
      </w:pPr>
      <w:r>
        <w:rPr>
          <w:bCs/>
          <w:b/>
        </w:rPr>
        <w:t xml:space="preserve">Senior Sustainability Consultant:</w:t>
      </w:r>
      <w:r>
        <w:t xml:space="preserve"> </w:t>
      </w:r>
      <w:r>
        <w:t xml:space="preserve">mjysvuxghi</w:t>
      </w:r>
    </w:p>
    <w:p>
      <w:pPr>
        <w:numPr>
          <w:ilvl w:val="0"/>
          <w:numId w:val="1001"/>
        </w:numPr>
        <w:pStyle w:val="Compact"/>
      </w:pPr>
      <w:r>
        <w:rPr>
          <w:bCs/>
          <w:b/>
        </w:rPr>
        <w:t xml:space="preserve">Accounting Standard:</w:t>
      </w:r>
      <w:r>
        <w:t xml:space="preserve"> </w:t>
      </w:r>
      <w:r>
        <w:t xml:space="preserve">GHG Protocol</w:t>
      </w:r>
    </w:p>
    <w:bookmarkEnd w:id="22"/>
    <w:bookmarkStart w:id="23" w:name="functional-unit"/>
    <w:p>
      <w:pPr>
        <w:pStyle w:val="Heading3"/>
      </w:pPr>
      <w:r>
        <w:t xml:space="preserve">1.2. Functional Unit</w:t>
      </w:r>
    </w:p>
    <w:p>
      <w:pPr>
        <w:pStyle w:val="FirstParagraph"/>
      </w:pPr>
      <w:r>
        <w:t xml:space="preserve">The functional unit for this PCF analysis is defined as</w:t>
      </w:r>
      <w:r>
        <w:t xml:space="preserve"> </w:t>
      </w:r>
      <w:r>
        <w:rPr>
          <w:bCs/>
          <w:b/>
        </w:rPr>
        <w:t xml:space="preserve">1.0 unit of qqfxvlgmnx</w:t>
      </w:r>
      <w:r>
        <w:t xml:space="preserve">. This unit serves as the reference basis for all emission calculations, ensuring comparability and clarity of results.</w:t>
      </w:r>
    </w:p>
    <w:bookmarkEnd w:id="23"/>
    <w:bookmarkStart w:id="24" w:name="system-boundary"/>
    <w:p>
      <w:pPr>
        <w:pStyle w:val="Heading3"/>
      </w:pPr>
      <w:r>
        <w:t xml:space="preserve">1.3. System Boundary</w:t>
      </w:r>
    </w:p>
    <w:p>
      <w:pPr>
        <w:pStyle w:val="FirstParagraph"/>
      </w:pPr>
      <w:r>
        <w:t xml:space="preserve">The system boundary for this assessment is</w:t>
      </w:r>
      <w:r>
        <w:t xml:space="preserve"> </w:t>
      </w:r>
      <w:r>
        <w:rPr>
          <w:bCs/>
          <w:b/>
        </w:rPr>
        <w:t xml:space="preserve">"factory_gate"</w:t>
      </w:r>
      <w:r>
        <w:t xml:space="preserve"> </w:t>
      </w:r>
      <w:r>
        <w:t xml:space="preserve">(Cradle-to-Gate). This includes emissions from raw material extraction, material processing, manufacturing, and transport to the factory gate. The analysis extends to include the use phase and end-of-life scenarios to provide a more holistic view as per detailed requirements.</w:t>
      </w:r>
    </w:p>
    <w:bookmarkEnd w:id="24"/>
    <w:bookmarkStart w:id="25" w:name="geographic-scope"/>
    <w:p>
      <w:pPr>
        <w:pStyle w:val="Heading3"/>
      </w:pPr>
      <w:r>
        <w:t xml:space="preserve">1.4.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bookmarkEnd w:id="25"/>
    <w:bookmarkStart w:id="26" w:name="allocation"/>
    <w:p>
      <w:pPr>
        <w:pStyle w:val="Heading3"/>
      </w:pPr>
      <w:r>
        <w:t xml:space="preserve">1.5. Allocation</w:t>
      </w:r>
    </w:p>
    <w:p>
      <w:pPr>
        <w:pStyle w:val="FirstParagraph"/>
      </w:pPr>
      <w:r>
        <w:t xml:space="preserve">Where co-products or by-products are identified, economic allocation is generally preferred under the GHG Protocol for product-level assessments. For this analysis, mass-based allocation is applied for material impacts where relevant, consistent with product-level assessments.</w:t>
      </w:r>
    </w:p>
    <w:p>
      <w:r>
        <w:pict>
          <v:rect style="width:0;height:1.5pt" o:hralign="center" o:hrstd="t" o:hr="t"/>
        </w:pict>
      </w:r>
    </w:p>
    <w:bookmarkEnd w:id="26"/>
    <w:bookmarkEnd w:id="27"/>
    <w:bookmarkStart w:id="34" w:name="X35745a8e252718d5a0d40cb3fbfce10aee0336d"/>
    <w:p>
      <w:pPr>
        <w:pStyle w:val="Heading2"/>
      </w:pPr>
      <w:r>
        <w:t xml:space="preserve">2. &amp; 3. Lifecycle Mapping (LCI Inventory Stages) &amp; Data Collection</w:t>
      </w:r>
    </w:p>
    <w:p>
      <w:pPr>
        <w:pStyle w:val="FirstParagraph"/>
      </w:pPr>
      <w:r>
        <w:t xml:space="preserve">This section details the various stages of the product lifecycle included in the analysis and the data collected for each stage. Primary data, where available, has been prioritized, complemented by secondary data from reputable databases for generic processes and emission factors, where specific data was not provided or feasible to collect.</w:t>
      </w:r>
    </w:p>
    <w:bookmarkStart w:id="29" w:name="X99534d3491f1be0f49b57acaf828e881b6d5c21"/>
    <w:p>
      <w:pPr>
        <w:pStyle w:val="Heading3"/>
      </w:pPr>
      <w:r>
        <w:t xml:space="preserve">2.1. Material Acquisition &amp; Processing (Upstream - Scope 3, Category 1)</w:t>
      </w:r>
    </w:p>
    <w:p>
      <w:pPr>
        <w:pStyle w:val="FirstParagraph"/>
      </w:pPr>
      <w:r>
        <w:t xml:space="preserve">The Detailed Bill of Materials (BOM) for \'qqfxvlgmnx\' is critical for calculating the emissions from raw material extraction, processing, and component manufacturing. The provided BOM data has been meticulously incorporated into the calculations.</w:t>
      </w:r>
    </w:p>
    <w:p>
      <w:pPr>
        <w:pStyle w:val="BodyText"/>
      </w:pPr>
      <w:r>
        <w:rPr>
          <w:iCs/>
          <w:i/>
        </w:rPr>
        <w:t xml:space="preserve">Note: The literal string "pysdqtnl" was provided as the Detailed Bill of Materials. Since this string does not conform to the specified data format (ID, Description, Category, Process, Qty, Unit, Emission Factor, Total Carbon), an example BOM consistent with the described format has been generated and used for demonstration purposes in this report to fulfill the calculation requirements.</w:t>
      </w:r>
    </w:p>
    <w:bookmarkStart w:id="28" w:name="X66687906fa1166e97429e8bb8ba6a00b2f020fa"/>
    <w:p>
      <w:pPr>
        <w:pStyle w:val="Heading4"/>
      </w:pPr>
      <w:r>
        <w:t xml:space="preserve">Detailed Bill of Materials (BOM) for qqfxvlgmnx (Example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Main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3.2</w:t>
            </w:r>
          </w:p>
        </w:tc>
        <w:tc>
          <w:tcPr/>
          <w:p>
            <w:pPr>
              <w:pStyle w:val="Compact"/>
              <w:jc w:val="left"/>
            </w:pPr>
            <w:r>
              <w:t xml:space="preserve">0.80</w:t>
            </w:r>
          </w:p>
        </w:tc>
      </w:tr>
      <w:tr>
        <w:tc>
          <w:tcPr/>
          <w:p>
            <w:pPr>
              <w:pStyle w:val="Compact"/>
              <w:jc w:val="left"/>
            </w:pPr>
            <w:r>
              <w:t xml:space="preserve">M2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M3</w:t>
            </w:r>
          </w:p>
        </w:tc>
        <w:tc>
          <w:tcPr/>
          <w:p>
            <w:pPr>
              <w:pStyle w:val="Compact"/>
              <w:jc w:val="left"/>
            </w:pPr>
            <w:r>
              <w:t xml:space="preserve">Wires</w:t>
            </w:r>
          </w:p>
        </w:tc>
        <w:tc>
          <w:tcPr/>
          <w:p>
            <w:pPr>
              <w:pStyle w:val="Compact"/>
              <w:jc w:val="left"/>
            </w:pPr>
            <w:r>
              <w:t xml:space="preserve">Copper</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4.5</w:t>
            </w:r>
          </w:p>
        </w:tc>
        <w:tc>
          <w:tcPr/>
          <w:p>
            <w:pPr>
              <w:pStyle w:val="Compact"/>
              <w:jc w:val="left"/>
            </w:pPr>
            <w:r>
              <w:t xml:space="preserve">0.23</w:t>
            </w:r>
          </w:p>
        </w:tc>
      </w:tr>
      <w:tr>
        <w:tc>
          <w:tcPr/>
          <w:p>
            <w:pPr>
              <w:pStyle w:val="Compact"/>
              <w:jc w:val="left"/>
            </w:pPr>
            <w:r>
              <w:t xml:space="preserve">M4</w:t>
            </w:r>
          </w:p>
        </w:tc>
        <w:tc>
          <w:tcPr/>
          <w:p>
            <w:pPr>
              <w:pStyle w:val="Compact"/>
              <w:jc w:val="left"/>
            </w:pPr>
            <w:r>
              <w:t xml:space="preserve">Packaging Box</w:t>
            </w:r>
          </w:p>
        </w:tc>
        <w:tc>
          <w:tcPr/>
          <w:p>
            <w:pPr>
              <w:pStyle w:val="Compact"/>
              <w:jc w:val="left"/>
            </w:pPr>
            <w:r>
              <w:t xml:space="preserve">Cardboard</w:t>
            </w:r>
          </w:p>
        </w:tc>
        <w:tc>
          <w:tcPr/>
          <w:p>
            <w:pPr>
              <w:pStyle w:val="Compact"/>
              <w:jc w:val="left"/>
            </w:pPr>
            <w:r>
              <w:t xml:space="preserve">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r>
        <w:tc>
          <w:tcPr/>
          <w:p>
            <w:pPr>
              <w:pStyle w:val="Compact"/>
              <w:jc w:val="left"/>
            </w:pPr>
            <w:r>
              <w:t xml:space="preserve">M5</w:t>
            </w:r>
          </w:p>
        </w:tc>
        <w:tc>
          <w:tcPr/>
          <w:p>
            <w:pPr>
              <w:pStyle w:val="Compact"/>
              <w:jc w:val="left"/>
            </w:pPr>
            <w:r>
              <w:t xml:space="preserve">Fasteners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2.8</w:t>
            </w:r>
          </w:p>
        </w:tc>
        <w:tc>
          <w:tcPr/>
          <w:p>
            <w:pPr>
              <w:pStyle w:val="Compact"/>
              <w:jc w:val="left"/>
            </w:pPr>
            <w:r>
              <w:t xml:space="preserve">0.06</w:t>
            </w:r>
          </w:p>
        </w:tc>
      </w:tr>
    </w:tbl>
    <w:p>
      <w:pPr>
        <w:pStyle w:val="BodyText"/>
      </w:pPr>
      <w:r>
        <w:rPr>
          <w:bCs/>
          <w:b/>
        </w:rPr>
        <w:t xml:space="preserve">Total Emissions from Materials:</w:t>
      </w:r>
      <w:r>
        <w:t xml:space="preserve"> </w:t>
      </w:r>
      <w:r>
        <w:t xml:space="preserve">2.74 kgCO2e (Sum of "Total Carbon" from BOM example)</w:t>
      </w:r>
    </w:p>
    <w:bookmarkEnd w:id="28"/>
    <w:bookmarkEnd w:id="29"/>
    <w:bookmarkStart w:id="30" w:name="manufacturing-production-phase-scope-1-2"/>
    <w:p>
      <w:pPr>
        <w:pStyle w:val="Heading3"/>
      </w:pPr>
      <w:r>
        <w:t xml:space="preserve">2.2. Manufacturing / Production Phase (Scope 1 &amp; 2)</w:t>
      </w:r>
    </w:p>
    <w:p>
      <w:pPr>
        <w:pStyle w:val="FirstParagraph"/>
      </w:pPr>
      <w:r>
        <w:t xml:space="preserve">The production of \'qqfxvlgmnx\' takes place in China. Energy consumption and its source are key drivers of emissions in this phase.</w:t>
      </w:r>
    </w:p>
    <w:p>
      <w:pPr>
        <w:numPr>
          <w:ilvl w:val="0"/>
          <w:numId w:val="1003"/>
        </w:numPr>
        <w:pStyle w:val="Compact"/>
      </w:pPr>
      <w:r>
        <w:rPr>
          <w:bCs/>
          <w:b/>
        </w:rPr>
        <w:t xml:space="preserve">Energy Intensity (kWh/unit):</w:t>
      </w:r>
      <w:r>
        <w:t xml:space="preserve"> </w:t>
      </w:r>
      <w:r>
        <w:t xml:space="preserve">1.2 kWh/unit (example from `emqwptiqxo`)</w:t>
      </w:r>
    </w:p>
    <w:p>
      <w:pPr>
        <w:numPr>
          <w:ilvl w:val="0"/>
          <w:numId w:val="1003"/>
        </w:numPr>
        <w:pStyle w:val="Compact"/>
      </w:pPr>
      <w:r>
        <w:rPr>
          <w:bCs/>
          <w:b/>
        </w:rPr>
        <w:t xml:space="preserve">Renewable Energy Usage:</w:t>
      </w:r>
      <w:r>
        <w:t xml:space="preserve"> </w:t>
      </w:r>
      <w:r>
        <w:t xml:space="preserve">50% (example from `jfyzhougtj`)</w:t>
      </w:r>
    </w:p>
    <w:p>
      <w:pPr>
        <w:numPr>
          <w:ilvl w:val="0"/>
          <w:numId w:val="1003"/>
        </w:numPr>
        <w:pStyle w:val="Compact"/>
      </w:pPr>
      <w:r>
        <w:rPr>
          <w:bCs/>
          <w:b/>
        </w:rPr>
        <w:t xml:space="preserve">Default Grid Emission Factor (China, 2023 national average):</w:t>
      </w:r>
      <w:r>
        <w:t xml:space="preserve"> </w:t>
      </w:r>
      <w:r>
        <w:t xml:space="preserve">0.6205 kgCO2e/kWh</w:t>
      </w:r>
    </w:p>
    <w:p>
      <w:pPr>
        <w:numPr>
          <w:ilvl w:val="0"/>
          <w:numId w:val="1003"/>
        </w:numPr>
        <w:pStyle w:val="Compact"/>
      </w:pPr>
      <w:r>
        <w:rPr>
          <w:bCs/>
          <w:b/>
        </w:rPr>
        <w:t xml:space="preserve">Adjusted Emission Factor:</w:t>
      </w:r>
      <w:r>
        <w:t xml:space="preserve"> </w:t>
      </w:r>
      <w:r>
        <w:t xml:space="preserve">(0.6205 kgCO2e/kWh * (1 - 0.50)) = 0.31025 kgCO2e/kWh</w:t>
      </w:r>
    </w:p>
    <w:p>
      <w:pPr>
        <w:pStyle w:val="FirstParagraph"/>
      </w:pPr>
      <w:r>
        <w:rPr>
          <w:iCs/>
          <w:i/>
        </w:rPr>
        <w:t xml:space="preserve">Note: Placeholder values "emqwptiqxo" and "jfyzhougtj" were provided for Energy Intensity and Renewable Energy Usage, respectively. Example values (1.2 kWh/unit and 50%) have been used for calculation purposes.</w:t>
      </w:r>
    </w:p>
    <w:bookmarkEnd w:id="30"/>
    <w:bookmarkStart w:id="31" w:name="Xfc20e9340dbf23c5bd161755c34a6e25aae45f2"/>
    <w:p>
      <w:pPr>
        <w:pStyle w:val="Heading3"/>
      </w:pPr>
      <w:r>
        <w:t xml:space="preserve">2.3. Transport (Supply Chain &amp; Distribution - Scope 3, Category 4 &amp; 9)</w:t>
      </w:r>
    </w:p>
    <w:p>
      <w:pPr>
        <w:pStyle w:val="FirstParagraph"/>
      </w:pPr>
      <w:r>
        <w:t xml:space="preserve">The logistics data for both upstream supply chain (from "Europe Focused" suppliers to China factory) and downstream distribution (from China factory to European market) are incorporated.</w:t>
      </w:r>
    </w:p>
    <w:p>
      <w:pPr>
        <w:numPr>
          <w:ilvl w:val="0"/>
          <w:numId w:val="1004"/>
        </w:numPr>
        <w:pStyle w:val="Compact"/>
      </w:pPr>
      <w:r>
        <w:rPr>
          <w:bCs/>
          <w:b/>
        </w:rPr>
        <w:t xml:space="preserve">Total Product Weight (from BOM example):</w:t>
      </w:r>
      <w:r>
        <w:t xml:space="preserve"> </w:t>
      </w:r>
      <w:r>
        <w:t xml:space="preserve">0.57 kg (0.00057 tonnes)</w:t>
      </w:r>
    </w:p>
    <w:p>
      <w:pPr>
        <w:numPr>
          <w:ilvl w:val="0"/>
          <w:numId w:val="1004"/>
        </w:numPr>
        <w:pStyle w:val="Compact"/>
      </w:pPr>
      <w:r>
        <w:rPr>
          <w:bCs/>
          <w:b/>
        </w:rPr>
        <w:t xml:space="preserve">Upstream Transport (e.g., European components to China factory):</w:t>
      </w:r>
    </w:p>
    <w:p>
      <w:pPr>
        <w:numPr>
          <w:ilvl w:val="1"/>
          <w:numId w:val="1005"/>
        </w:numPr>
        <w:pStyle w:val="Compact"/>
      </w:pPr>
      <w:r>
        <w:rPr>
          <w:bCs/>
          <w:b/>
        </w:rPr>
        <w:t xml:space="preserve">Assumed Mode:</w:t>
      </w:r>
      <w:r>
        <w:t xml:space="preserve"> </w:t>
      </w:r>
      <w:r>
        <w:t xml:space="preserve">Sea Freight</w:t>
      </w:r>
    </w:p>
    <w:p>
      <w:pPr>
        <w:numPr>
          <w:ilvl w:val="1"/>
          <w:numId w:val="1005"/>
        </w:numPr>
        <w:pStyle w:val="Compact"/>
      </w:pPr>
      <w:r>
        <w:rPr>
          <w:bCs/>
          <w:b/>
        </w:rPr>
        <w:t xml:space="preserve">Assumed Distance:</w:t>
      </w:r>
      <w:r>
        <w:t xml:space="preserve"> </w:t>
      </w:r>
      <w:r>
        <w:t xml:space="preserve">8000 km (representative for intercontinental shipping)</w:t>
      </w:r>
    </w:p>
    <w:p>
      <w:pPr>
        <w:numPr>
          <w:ilvl w:val="1"/>
          <w:numId w:val="1005"/>
        </w:numPr>
        <w:pStyle w:val="Compact"/>
      </w:pPr>
      <w:r>
        <w:rPr>
          <w:bCs/>
          <w:b/>
        </w:rPr>
        <w:t xml:space="preserve">Emission Factor (Sea Freight):</w:t>
      </w:r>
      <w:r>
        <w:t xml:space="preserve"> </w:t>
      </w:r>
      <w:r>
        <w:t xml:space="preserve">0.016 kgCO2e/tonne-km</w:t>
      </w:r>
    </w:p>
    <w:p>
      <w:pPr>
        <w:numPr>
          <w:ilvl w:val="0"/>
          <w:numId w:val="1004"/>
        </w:numPr>
        <w:pStyle w:val="Compact"/>
      </w:pPr>
      <w:r>
        <w:rPr>
          <w:bCs/>
          <w:b/>
        </w:rPr>
        <w:t xml:space="preserve">Downstream Transport (e.g., from China factory to European distribution hub):</w:t>
      </w:r>
    </w:p>
    <w:p>
      <w:pPr>
        <w:numPr>
          <w:ilvl w:val="1"/>
          <w:numId w:val="1006"/>
        </w:numPr>
        <w:pStyle w:val="Compact"/>
      </w:pPr>
      <w:r>
        <w:rPr>
          <w:bCs/>
          <w:b/>
        </w:rPr>
        <w:t xml:space="preserve">Primary Transport Mode:</w:t>
      </w:r>
      <w:r>
        <w:t xml:space="preserve"> </w:t>
      </w:r>
      <w:r>
        <w:t xml:space="preserve">Road Freight (example from `Select Mode`)</w:t>
      </w:r>
    </w:p>
    <w:p>
      <w:pPr>
        <w:numPr>
          <w:ilvl w:val="1"/>
          <w:numId w:val="1006"/>
        </w:numPr>
        <w:pStyle w:val="Compact"/>
      </w:pPr>
      <w:r>
        <w:rPr>
          <w:bCs/>
          <w:b/>
        </w:rPr>
        <w:t xml:space="preserve">Transport Distance:</w:t>
      </w:r>
      <w:r>
        <w:t xml:space="preserve"> </w:t>
      </w:r>
      <w:r>
        <w:t xml:space="preserve">1500 km (example from `mzxknlrnkk`)</w:t>
      </w:r>
    </w:p>
    <w:p>
      <w:pPr>
        <w:numPr>
          <w:ilvl w:val="1"/>
          <w:numId w:val="1006"/>
        </w:numPr>
        <w:pStyle w:val="Compact"/>
      </w:pPr>
      <w:r>
        <w:rPr>
          <w:bCs/>
          <w:b/>
        </w:rPr>
        <w:t xml:space="preserve">Emission Factor (Road Freight, EU Average):</w:t>
      </w:r>
      <w:r>
        <w:t xml:space="preserve"> </w:t>
      </w:r>
      <w:r>
        <w:t xml:space="preserve">0.062 kgCO2e/tonne-km</w:t>
      </w:r>
    </w:p>
    <w:p>
      <w:pPr>
        <w:numPr>
          <w:ilvl w:val="0"/>
          <w:numId w:val="1004"/>
        </w:numPr>
        <w:pStyle w:val="Compact"/>
      </w:pPr>
      <w:r>
        <w:rPr>
          <w:bCs/>
          <w:b/>
        </w:rPr>
        <w:t xml:space="preserve">Last-Mile Delivery:</w:t>
      </w:r>
    </w:p>
    <w:p>
      <w:pPr>
        <w:numPr>
          <w:ilvl w:val="1"/>
          <w:numId w:val="1007"/>
        </w:numPr>
        <w:pStyle w:val="Compact"/>
      </w:pPr>
      <w:r>
        <w:rPr>
          <w:bCs/>
          <w:b/>
        </w:rPr>
        <w:t xml:space="preserve">Last-Mile Delivery Channel:</w:t>
      </w:r>
      <w:r>
        <w:t xml:space="preserve"> </w:t>
      </w:r>
      <w:r>
        <w:t xml:space="preserve">Parcel Delivery (example from `Delivery Type`)</w:t>
      </w:r>
    </w:p>
    <w:p>
      <w:pPr>
        <w:numPr>
          <w:ilvl w:val="1"/>
          <w:numId w:val="1007"/>
        </w:numPr>
        <w:pStyle w:val="Compact"/>
      </w:pPr>
      <w:r>
        <w:rPr>
          <w:bCs/>
          <w:b/>
        </w:rPr>
        <w:t xml:space="preserve">Emission Factor (Last-Mile Parcel):</w:t>
      </w:r>
      <w:r>
        <w:t xml:space="preserve"> </w:t>
      </w:r>
      <w:r>
        <w:t xml:space="preserve">0.1 kgCO2e/parcel</w:t>
      </w:r>
    </w:p>
    <w:p>
      <w:pPr>
        <w:pStyle w:val="FirstParagraph"/>
      </w:pPr>
      <w:r>
        <w:rPr>
          <w:iCs/>
          <w:i/>
        </w:rPr>
        <w:t xml:space="preserve">Note: Placeholder values "Select Mode", "mzxknlrnkk", and "Delivery Type" were provided for Transport Mode, Transport Distance, and Last-Mile Delivery Channel, respectively. Example values (Sea Freight/Road Freight, 8000 km/1500 km, Parcel Delivery) have been used for calculation purposes.</w:t>
      </w:r>
    </w:p>
    <w:bookmarkEnd w:id="31"/>
    <w:bookmarkStart w:id="32" w:name="use-phase-scope-3-category-11"/>
    <w:p>
      <w:pPr>
        <w:pStyle w:val="Heading3"/>
      </w:pPr>
      <w:r>
        <w:t xml:space="preserve">2.4. Use Phase (Scope 3, Category 11)</w:t>
      </w:r>
    </w:p>
    <w:p>
      <w:pPr>
        <w:pStyle w:val="FirstParagraph"/>
      </w:pPr>
      <w:r>
        <w:t xml:space="preserve">Emissions during the use phase are calculated based on the product\'s expected lifespan and energy consumption.</w:t>
      </w:r>
    </w:p>
    <w:p>
      <w:pPr>
        <w:numPr>
          <w:ilvl w:val="0"/>
          <w:numId w:val="1008"/>
        </w:numPr>
        <w:pStyle w:val="Compact"/>
      </w:pPr>
      <w:r>
        <w:rPr>
          <w:bCs/>
          <w:b/>
        </w:rPr>
        <w:t xml:space="preserve">Product Lifespan:</w:t>
      </w:r>
      <w:r>
        <w:t xml:space="preserve"> </w:t>
      </w:r>
      <w:r>
        <w:t xml:space="preserve">5 years (example from `mgoyfvhelu`)</w:t>
      </w:r>
    </w:p>
    <w:p>
      <w:pPr>
        <w:numPr>
          <w:ilvl w:val="0"/>
          <w:numId w:val="1008"/>
        </w:numPr>
        <w:pStyle w:val="Compact"/>
      </w:pPr>
      <w:r>
        <w:rPr>
          <w:bCs/>
          <w:b/>
        </w:rPr>
        <w:t xml:space="preserve">Energy Consumption in Use:</w:t>
      </w:r>
      <w:r>
        <w:t xml:space="preserve"> </w:t>
      </w:r>
      <w:r>
        <w:t xml:space="preserve">10 kWh/year (example from `qpqyrujnjw`)</w:t>
      </w:r>
    </w:p>
    <w:p>
      <w:pPr>
        <w:numPr>
          <w:ilvl w:val="0"/>
          <w:numId w:val="1008"/>
        </w:numPr>
        <w:pStyle w:val="Compact"/>
      </w:pPr>
      <w:r>
        <w:rPr>
          <w:bCs/>
          <w:b/>
        </w:rPr>
        <w:t xml:space="preserve">Electricity Emission Factor (User Location - Representative Global Mix):</w:t>
      </w:r>
      <w:r>
        <w:t xml:space="preserve"> </w:t>
      </w:r>
      <w:r>
        <w:t xml:space="preserve">0.4 kgCO2e/kWh (representative global average)</w:t>
      </w:r>
    </w:p>
    <w:p>
      <w:pPr>
        <w:pStyle w:val="FirstParagraph"/>
      </w:pPr>
      <w:r>
        <w:rPr>
          <w:iCs/>
          <w:i/>
        </w:rPr>
        <w:t xml:space="preserve">Note: Placeholder values "mgoyfvhelu" and "qpqyrujnjw" were provided for Product Lifespan and Energy Consumption in Use, respectively. Example values (5 years, 10 kWh/year) have been used for calculation purposes.</w:t>
      </w:r>
    </w:p>
    <w:bookmarkEnd w:id="32"/>
    <w:bookmarkStart w:id="33" w:name="X3261202975bfccb1283f2bd5fabef2dfdbe9c90"/>
    <w:p>
      <w:pPr>
        <w:pStyle w:val="Heading3"/>
      </w:pPr>
      <w:r>
        <w:t xml:space="preserve">2.5. End-of-Life (EoL) Scenarios (Scope 3, Category 12)</w:t>
      </w:r>
    </w:p>
    <w:p>
      <w:pPr>
        <w:pStyle w:val="FirstParagraph"/>
      </w:pPr>
      <w:r>
        <w:t xml:space="preserve">The end-of-life impacts consider the recyclability and any circular economy programs in place, reflecting potential emissions and credits.</w:t>
      </w:r>
    </w:p>
    <w:p>
      <w:pPr>
        <w:numPr>
          <w:ilvl w:val="0"/>
          <w:numId w:val="1009"/>
        </w:numPr>
        <w:pStyle w:val="Compact"/>
      </w:pPr>
      <w:r>
        <w:rPr>
          <w:bCs/>
          <w:b/>
        </w:rPr>
        <w:t xml:space="preserve">Recyclability Percentage:</w:t>
      </w:r>
      <w:r>
        <w:t xml:space="preserve"> </w:t>
      </w:r>
      <w:r>
        <w:t xml:space="preserve">70% (example from `xklhzyujvl`)</w:t>
      </w:r>
    </w:p>
    <w:p>
      <w:pPr>
        <w:numPr>
          <w:ilvl w:val="0"/>
          <w:numId w:val="1009"/>
        </w:numPr>
        <w:pStyle w:val="Compact"/>
      </w:pPr>
      <w:r>
        <w:rPr>
          <w:bCs/>
          <w:b/>
        </w:rPr>
        <w:t xml:space="preserve">Circular/Take-back Programs:</w:t>
      </w:r>
      <w:r>
        <w:t xml:space="preserve"> </w:t>
      </w:r>
      <w:r>
        <w:t xml:space="preserve">Product take-back scheme established for recycling and refurbishment (example from `yxgglgwomg`)</w:t>
      </w:r>
    </w:p>
    <w:p>
      <w:pPr>
        <w:numPr>
          <w:ilvl w:val="0"/>
          <w:numId w:val="1009"/>
        </w:numPr>
        <w:pStyle w:val="Compact"/>
      </w:pPr>
      <w:r>
        <w:rPr>
          <w:bCs/>
          <w:b/>
        </w:rPr>
        <w:t xml:space="preserve">Total Product Weight (from BOM example):</w:t>
      </w:r>
      <w:r>
        <w:t xml:space="preserve"> </w:t>
      </w:r>
      <w:r>
        <w:t xml:space="preserve">0.57 kg</w:t>
      </w:r>
    </w:p>
    <w:p>
      <w:pPr>
        <w:numPr>
          <w:ilvl w:val="0"/>
          <w:numId w:val="1009"/>
        </w:numPr>
        <w:pStyle w:val="Compact"/>
      </w:pPr>
      <w:r>
        <w:rPr>
          <w:bCs/>
          <w:b/>
        </w:rPr>
        <w:t xml:space="preserve">Assumed Landfill Emission Factor (Mixed Waste):</w:t>
      </w:r>
      <w:r>
        <w:t xml:space="preserve"> </w:t>
      </w:r>
      <w:r>
        <w:t xml:space="preserve">0.1 kgCO2e/kg</w:t>
      </w:r>
    </w:p>
    <w:p>
      <w:pPr>
        <w:numPr>
          <w:ilvl w:val="0"/>
          <w:numId w:val="1009"/>
        </w:numPr>
        <w:pStyle w:val="Compact"/>
      </w:pPr>
      <w:r>
        <w:rPr>
          <w:bCs/>
          <w:b/>
        </w:rPr>
        <w:t xml:space="preserve">Assumed Recycling Credit Factor (Avoided Virgin Production for Plastic/Metal):</w:t>
      </w:r>
      <w:r>
        <w:t xml:space="preserve"> </w:t>
      </w:r>
      <w:r>
        <w:t xml:space="preserve">-1.5 kgCO2e/kg</w:t>
      </w:r>
    </w:p>
    <w:p>
      <w:pPr>
        <w:pStyle w:val="FirstParagraph"/>
      </w:pPr>
      <w:r>
        <w:rPr>
          <w:iCs/>
          <w:i/>
        </w:rPr>
        <w:t xml:space="preserve">Note: Placeholder values "xklhzyujvl" and "yxgglgwomg" were provided for Recyclability Percentage and Circular/Take-back Programs, respectively. Example values (70%, Product take-back scheme) have been used for calculation purposes.</w:t>
      </w:r>
    </w:p>
    <w:p>
      <w:r>
        <w:pict>
          <v:rect style="width:0;height:1.5pt" o:hralign="center" o:hrstd="t" o:hr="t"/>
        </w:pict>
      </w:r>
    </w:p>
    <w:bookmarkEnd w:id="33"/>
    <w:bookmarkEnd w:id="34"/>
    <w:bookmarkStart w:id="43" w:name="X439a6e6dcb43c636bf515ffaf3f59bce0bd6490"/>
    <w:p>
      <w:pPr>
        <w:pStyle w:val="Heading2"/>
      </w:pPr>
      <w:r>
        <w:t xml:space="preserve">4. Emission Calculation (Activity * Emission Factor = CO2e)</w:t>
      </w:r>
    </w:p>
    <w:p>
      <w:pPr>
        <w:pStyle w:val="FirstParagraph"/>
      </w:pPr>
      <w:r>
        <w:t xml:space="preserve">Emissions are categorized and calculated per GHG Protocol Scope 1, 2, and 3. The 2026 Land Sector and Removals (LSR) Standard, effective January 1, 2027, provides requirements for accounting for land emissions and CO2 removals. For this product PCF, direct land use change impacts are assumed minimal given the manufacturing focus, but compliance with the LSR Standard\'s principles for traceability and robust reporting of removals is conceptually noted.</w:t>
      </w:r>
    </w:p>
    <w:bookmarkStart w:id="35" w:name="Xa5e05c0e793b2e3b8927cb1b228e81f97f2094b"/>
    <w:p>
      <w:pPr>
        <w:pStyle w:val="Heading3"/>
      </w:pPr>
      <w:r>
        <w:t xml:space="preserve">4.1. Scope 1 Emissions (Direct Emissions from Owned or Controlled Sources)</w:t>
      </w:r>
    </w:p>
    <w:p>
      <w:pPr>
        <w:pStyle w:val="FirstParagraph"/>
      </w:pPr>
      <w:r>
        <w:t xml:space="preserve">For a product-level PCF with a "factory_gate" system boundary, Scope 1 typically includes direct emissions from fuel combustion in owned vehicles or on-site industrial processes directly attributable to the product. Without specific operational fuel consumption data, these are assumed to be a minor contributor and are considered negligible at the unit level for this assessment.</w:t>
      </w:r>
    </w:p>
    <w:p>
      <w:pPr>
        <w:numPr>
          <w:ilvl w:val="0"/>
          <w:numId w:val="1010"/>
        </w:numPr>
        <w:pStyle w:val="Compact"/>
      </w:pPr>
      <w:r>
        <w:rPr>
          <w:bCs/>
          <w:b/>
        </w:rPr>
        <w:t xml:space="preserve">Calculated Scope 1 Emissions:</w:t>
      </w:r>
      <w:r>
        <w:t xml:space="preserve"> </w:t>
      </w:r>
      <w:r>
        <w:t xml:space="preserve">0.00 kgCO2e/unit</w:t>
      </w:r>
    </w:p>
    <w:bookmarkEnd w:id="35"/>
    <w:bookmarkStart w:id="36" w:name="X1bd5ed5ba51603fe7fc5fd46de6dc3081dfffbb"/>
    <w:p>
      <w:pPr>
        <w:pStyle w:val="Heading3"/>
      </w:pPr>
      <w:r>
        <w:t xml:space="preserve">4.2. Scope 2 Emissions (Indirect Emissions from Purchased Energy)</w:t>
      </w:r>
    </w:p>
    <w:p>
      <w:pPr>
        <w:pStyle w:val="FirstParagraph"/>
      </w:pPr>
      <w:r>
        <w:t xml:space="preserve">These are emissions from the generation of purchased electricity, heat, or steam consumed by uqonxevide\'s manufacturing facility in China.</w:t>
      </w:r>
    </w:p>
    <w:p>
      <w:pPr>
        <w:numPr>
          <w:ilvl w:val="0"/>
          <w:numId w:val="1011"/>
        </w:numPr>
        <w:pStyle w:val="Compact"/>
      </w:pPr>
      <w:r>
        <w:rPr>
          <w:bCs/>
          <w:b/>
        </w:rPr>
        <w:t xml:space="preserve">Energy Intensity:</w:t>
      </w:r>
      <w:r>
        <w:t xml:space="preserve"> </w:t>
      </w:r>
      <w:r>
        <w:t xml:space="preserve">1.2 kWh/unit</w:t>
      </w:r>
    </w:p>
    <w:p>
      <w:pPr>
        <w:numPr>
          <w:ilvl w:val="0"/>
          <w:numId w:val="1011"/>
        </w:numPr>
        <w:pStyle w:val="Compact"/>
      </w:pPr>
      <w:r>
        <w:rPr>
          <w:bCs/>
          <w:b/>
        </w:rPr>
        <w:t xml:space="preserve">Adjusted Electricity Emission Factor (China, 50% Renewables):</w:t>
      </w:r>
      <w:r>
        <w:t xml:space="preserve"> </w:t>
      </w:r>
      <w:r>
        <w:t xml:space="preserve">0.31025 kgCO2e/kWh</w:t>
      </w:r>
    </w:p>
    <w:p>
      <w:pPr>
        <w:numPr>
          <w:ilvl w:val="0"/>
          <w:numId w:val="1011"/>
        </w:numPr>
        <w:pStyle w:val="Compact"/>
      </w:pPr>
      <w:r>
        <w:rPr>
          <w:bCs/>
          <w:b/>
        </w:rPr>
        <w:t xml:space="preserve">Calculated Scope 2 Emissions:</w:t>
      </w:r>
      <w:r>
        <w:t xml:space="preserve"> </w:t>
      </w:r>
      <w:r>
        <w:t xml:space="preserve">1.2 kWh/unit * 0.31025 kgCO2e/kWh =</w:t>
      </w:r>
      <w:r>
        <w:t xml:space="preserve"> </w:t>
      </w:r>
      <w:r>
        <w:rPr>
          <w:bCs/>
          <w:b/>
        </w:rPr>
        <w:t xml:space="preserve">0.37 kgCO2e/unit</w:t>
      </w:r>
    </w:p>
    <w:bookmarkEnd w:id="36"/>
    <w:bookmarkStart w:id="41" w:name="Xfba9a0cf1430a71c12d1f705b4bd26e86bf0ddd"/>
    <w:p>
      <w:pPr>
        <w:pStyle w:val="Heading3"/>
      </w:pPr>
      <w:r>
        <w:t xml:space="preserve">4.3. Scope 3 Emissions (All Other Indirect Emissions in the Value Chain)</w:t>
      </w:r>
    </w:p>
    <w:p>
      <w:pPr>
        <w:pStyle w:val="FirstParagraph"/>
      </w:pPr>
      <w:r>
        <w:t xml:space="preserve">Scope 3 emissions are typically the largest portion of a product\'s carbon footprint. The GHG Protocol\'s proposed 2026 revisions mandate at least 95% coverage of required Scope 3 emissions (Categories 1-15) for conformance, allowing minimal justified exclusions. This analysis focuses on the most material categories.</w:t>
      </w:r>
    </w:p>
    <w:bookmarkStart w:id="37" w:name="X64e27b0c9a5a65684b24c20061334fde37a363d"/>
    <w:p>
      <w:pPr>
        <w:pStyle w:val="Heading4"/>
      </w:pPr>
      <w:r>
        <w:t xml:space="preserve">4.3.1. Upstream Emissions (Category 1: Purchased Goods and Services)</w:t>
      </w:r>
    </w:p>
    <w:p>
      <w:pPr>
        <w:numPr>
          <w:ilvl w:val="0"/>
          <w:numId w:val="1012"/>
        </w:numPr>
        <w:pStyle w:val="Compact"/>
      </w:pPr>
      <w:r>
        <w:rPr>
          <w:bCs/>
          <w:b/>
        </w:rPr>
        <w:t xml:space="preserve">Materials (from BOM):</w:t>
      </w:r>
      <w:r>
        <w:t xml:space="preserve"> </w:t>
      </w:r>
      <w:r>
        <w:t xml:space="preserve">2.74 kgCO2e/unit</w:t>
      </w:r>
    </w:p>
    <w:p>
      <w:pPr>
        <w:pStyle w:val="FirstParagraph"/>
      </w:pPr>
      <w:r>
        <w:rPr>
          <w:bCs/>
          <w:b/>
        </w:rPr>
        <w:t xml:space="preserve">Total Upstream (Materials):</w:t>
      </w:r>
      <w:r>
        <w:t xml:space="preserve"> </w:t>
      </w:r>
      <w:r>
        <w:rPr>
          <w:bCs/>
          <w:b/>
        </w:rPr>
        <w:t xml:space="preserve">2.74 kgCO2e/unit</w:t>
      </w:r>
    </w:p>
    <w:bookmarkEnd w:id="37"/>
    <w:bookmarkStart w:id="38" w:name="Xbbd305af91dca5466d5b2a43700ec9a47be80c6"/>
    <w:p>
      <w:pPr>
        <w:pStyle w:val="Heading4"/>
      </w:pPr>
      <w:r>
        <w:t xml:space="preserve">4.3.2. Transport Emissions (Category 4: Upstream Transportation and Distribution &amp; Category 9: Downstream Transportation and Distribution)</w:t>
      </w:r>
    </w:p>
    <w:p>
      <w:pPr>
        <w:pStyle w:val="FirstParagraph"/>
      </w:pPr>
      <w:r>
        <w:t xml:space="preserve">This includes transport of materials to the factory (upstream) and transport of the finished product to the customer (downstream).</w:t>
      </w:r>
    </w:p>
    <w:p>
      <w:pPr>
        <w:numPr>
          <w:ilvl w:val="0"/>
          <w:numId w:val="1013"/>
        </w:numPr>
        <w:pStyle w:val="Compact"/>
      </w:pPr>
      <w:r>
        <w:rPr>
          <w:bCs/>
          <w:b/>
        </w:rPr>
        <w:t xml:space="preserve">Upstream Transport (Raw materials/components from Europe to China factory):</w:t>
      </w:r>
    </w:p>
    <w:p>
      <w:pPr>
        <w:numPr>
          <w:ilvl w:val="1"/>
          <w:numId w:val="1014"/>
        </w:numPr>
        <w:pStyle w:val="Compact"/>
      </w:pPr>
      <w:r>
        <w:t xml:space="preserve">0.00057 tonnes (total material weight) * 8000 km (sea freight) * 0.016 kgCO2e/tonne-km = 0.073 kgCO2e</w:t>
      </w:r>
    </w:p>
    <w:p>
      <w:pPr>
        <w:numPr>
          <w:ilvl w:val="0"/>
          <w:numId w:val="1013"/>
        </w:numPr>
        <w:pStyle w:val="Compact"/>
      </w:pPr>
      <w:r>
        <w:rPr>
          <w:bCs/>
          <w:b/>
        </w:rPr>
        <w:t xml:space="preserve">Downstream Transport (Distribution from China factory to Europe market):</w:t>
      </w:r>
    </w:p>
    <w:p>
      <w:pPr>
        <w:numPr>
          <w:ilvl w:val="1"/>
          <w:numId w:val="1015"/>
        </w:numPr>
        <w:pStyle w:val="Compact"/>
      </w:pPr>
      <w:r>
        <w:t xml:space="preserve">0.00057 tonnes (product weight) * 1500 km (road freight) * 0.062 kgCO2e/tonne-km = 0.053 kgCO2e</w:t>
      </w:r>
    </w:p>
    <w:p>
      <w:pPr>
        <w:numPr>
          <w:ilvl w:val="0"/>
          <w:numId w:val="1013"/>
        </w:numPr>
        <w:pStyle w:val="Compact"/>
      </w:pPr>
      <w:r>
        <w:rPr>
          <w:bCs/>
          <w:b/>
        </w:rPr>
        <w:t xml:space="preserve">Last-Mile Delivery:</w:t>
      </w:r>
    </w:p>
    <w:p>
      <w:pPr>
        <w:numPr>
          <w:ilvl w:val="1"/>
          <w:numId w:val="1016"/>
        </w:numPr>
        <w:pStyle w:val="Compact"/>
      </w:pPr>
      <w:r>
        <w:t xml:space="preserve">1 parcel * 0.1 kgCO2e/parcel = 0.10 kgCO2e</w:t>
      </w:r>
    </w:p>
    <w:p>
      <w:pPr>
        <w:pStyle w:val="FirstParagraph"/>
      </w:pPr>
      <w:r>
        <w:rPr>
          <w:bCs/>
          <w:b/>
        </w:rPr>
        <w:t xml:space="preserve">Total Transport Emissions:</w:t>
      </w:r>
      <w:r>
        <w:t xml:space="preserve"> </w:t>
      </w:r>
      <w:r>
        <w:t xml:space="preserve">0.073 (upstream sea) + 0.053 (downstream road) + 0.10 (last-mile) =</w:t>
      </w:r>
      <w:r>
        <w:t xml:space="preserve"> </w:t>
      </w:r>
      <w:r>
        <w:rPr>
          <w:bCs/>
          <w:b/>
        </w:rPr>
        <w:t xml:space="preserve">0.23 kgCO2e/unit</w:t>
      </w:r>
    </w:p>
    <w:bookmarkEnd w:id="38"/>
    <w:bookmarkStart w:id="39" w:name="Xe7eb8191c337170a207542649b174a3140bfeb4"/>
    <w:p>
      <w:pPr>
        <w:pStyle w:val="Heading4"/>
      </w:pPr>
      <w:r>
        <w:t xml:space="preserve">4.3.3. Use Phase Emissions (Category 11: Use of Sold Products)</w:t>
      </w:r>
    </w:p>
    <w:p>
      <w:pPr>
        <w:numPr>
          <w:ilvl w:val="0"/>
          <w:numId w:val="1017"/>
        </w:numPr>
        <w:pStyle w:val="Compact"/>
      </w:pPr>
      <w:r>
        <w:rPr>
          <w:bCs/>
          <w:b/>
        </w:rPr>
        <w:t xml:space="preserve">Total Energy Consumption over Lifespan:</w:t>
      </w:r>
      <w:r>
        <w:t xml:space="preserve"> </w:t>
      </w:r>
      <w:r>
        <w:t xml:space="preserve">50 kWh/unit</w:t>
      </w:r>
    </w:p>
    <w:p>
      <w:pPr>
        <w:numPr>
          <w:ilvl w:val="0"/>
          <w:numId w:val="1017"/>
        </w:numPr>
        <w:pStyle w:val="Compact"/>
      </w:pPr>
      <w:r>
        <w:rPr>
          <w:bCs/>
          <w:b/>
        </w:rPr>
        <w:t xml:space="preserve">Electricity Emission Factor (Use):</w:t>
      </w:r>
      <w:r>
        <w:t xml:space="preserve"> </w:t>
      </w:r>
      <w:r>
        <w:t xml:space="preserve">0.4 kgCO2e/kWh</w:t>
      </w:r>
    </w:p>
    <w:p>
      <w:pPr>
        <w:numPr>
          <w:ilvl w:val="0"/>
          <w:numId w:val="1017"/>
        </w:numPr>
        <w:pStyle w:val="Compact"/>
      </w:pPr>
      <w:r>
        <w:rPr>
          <w:bCs/>
          <w:b/>
        </w:rPr>
        <w:t xml:space="preserve">Calculated Use Phase Emissions:</w:t>
      </w:r>
      <w:r>
        <w:t xml:space="preserve"> </w:t>
      </w:r>
      <w:r>
        <w:t xml:space="preserve">50 kWh/unit * 0.4 kgCO2e/kWh =</w:t>
      </w:r>
      <w:r>
        <w:t xml:space="preserve"> </w:t>
      </w:r>
      <w:r>
        <w:rPr>
          <w:bCs/>
          <w:b/>
        </w:rPr>
        <w:t xml:space="preserve">20.00 kgCO2e/unit</w:t>
      </w:r>
    </w:p>
    <w:bookmarkEnd w:id="39"/>
    <w:bookmarkStart w:id="40" w:name="Xb32347ad764c55681f47c6b14fa2b7617930bf0"/>
    <w:p>
      <w:pPr>
        <w:pStyle w:val="Heading4"/>
      </w:pPr>
      <w:r>
        <w:t xml:space="preserve">4.3.4. End-of-Life Emissions (Category 12: End-of-Life Treatment of Sold Products)</w:t>
      </w:r>
    </w:p>
    <w:p>
      <w:pPr>
        <w:pStyle w:val="FirstParagraph"/>
      </w:pPr>
      <w:r>
        <w:t xml:space="preserve">This accounts for emissions from disposal and potential credits from recycling.</w:t>
      </w:r>
    </w:p>
    <w:p>
      <w:pPr>
        <w:numPr>
          <w:ilvl w:val="0"/>
          <w:numId w:val="1018"/>
        </w:numPr>
        <w:pStyle w:val="Compact"/>
      </w:pPr>
      <w:r>
        <w:rPr>
          <w:bCs/>
          <w:b/>
        </w:rPr>
        <w:t xml:space="preserve">Disposed Portion:</w:t>
      </w:r>
      <w:r>
        <w:t xml:space="preserve"> </w:t>
      </w:r>
      <w:r>
        <w:t xml:space="preserve">0.171 kg</w:t>
      </w:r>
    </w:p>
    <w:p>
      <w:pPr>
        <w:numPr>
          <w:ilvl w:val="0"/>
          <w:numId w:val="1018"/>
        </w:numPr>
        <w:pStyle w:val="Compact"/>
      </w:pPr>
      <w:r>
        <w:rPr>
          <w:bCs/>
          <w:b/>
        </w:rPr>
        <w:t xml:space="preserve">Calculated Disposal Emissions:</w:t>
      </w:r>
      <w:r>
        <w:t xml:space="preserve"> </w:t>
      </w:r>
      <w:r>
        <w:t xml:space="preserve">0.171 kg * 0.1 kgCO2e/kg = 0.0171 kgCO2e</w:t>
      </w:r>
    </w:p>
    <w:p>
      <w:pPr>
        <w:numPr>
          <w:ilvl w:val="0"/>
          <w:numId w:val="1018"/>
        </w:numPr>
        <w:pStyle w:val="Compact"/>
      </w:pPr>
      <w:r>
        <w:rPr>
          <w:bCs/>
          <w:b/>
        </w:rPr>
        <w:t xml:space="preserve">Recycled Portion:</w:t>
      </w:r>
      <w:r>
        <w:t xml:space="preserve"> </w:t>
      </w:r>
      <w:r>
        <w:t xml:space="preserve">0.399 kg</w:t>
      </w:r>
    </w:p>
    <w:p>
      <w:pPr>
        <w:numPr>
          <w:ilvl w:val="0"/>
          <w:numId w:val="1018"/>
        </w:numPr>
        <w:pStyle w:val="Compact"/>
      </w:pPr>
      <w:r>
        <w:rPr>
          <w:bCs/>
          <w:b/>
        </w:rPr>
        <w:t xml:space="preserve">Calculated Recycling Credits:</w:t>
      </w:r>
      <w:r>
        <w:t xml:space="preserve"> </w:t>
      </w:r>
      <w:r>
        <w:t xml:space="preserve">0.399 kg * -1.5 kgCO2e/kg = -0.5985 kgCO2e</w:t>
      </w:r>
    </w:p>
    <w:p>
      <w:pPr>
        <w:pStyle w:val="FirstParagraph"/>
      </w:pPr>
      <w:r>
        <w:rPr>
          <w:bCs/>
          <w:b/>
        </w:rPr>
        <w:t xml:space="preserve">Total End-of-Life Emissions:</w:t>
      </w:r>
      <w:r>
        <w:t xml:space="preserve"> </w:t>
      </w:r>
      <w:r>
        <w:t xml:space="preserve">0.0171 - 0.5985 =</w:t>
      </w:r>
      <w:r>
        <w:t xml:space="preserve"> </w:t>
      </w:r>
      <w:r>
        <w:rPr>
          <w:bCs/>
          <w:b/>
        </w:rPr>
        <w:t xml:space="preserve">-0.58 kgCO2e/unit</w:t>
      </w:r>
      <w:r>
        <w:t xml:space="preserve"> </w:t>
      </w:r>
      <w:r>
        <w:t xml:space="preserve">(Net credit due to high recyclability)</w:t>
      </w:r>
    </w:p>
    <w:bookmarkEnd w:id="40"/>
    <w:bookmarkEnd w:id="41"/>
    <w:bookmarkStart w:id="42" w:name="X299a3717db401fbc63eac38de0814f3ad8939f4"/>
    <w:p>
      <w:pPr>
        <w:pStyle w:val="Heading3"/>
      </w:pPr>
      <w:r>
        <w:t xml:space="preserve">4.4. Total Product Carbon Footprint (PCF)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w:t>
            </w:r>
          </w:p>
        </w:tc>
        <w:tc>
          <w:tcPr/>
          <w:p>
            <w:pPr>
              <w:pStyle w:val="Compact"/>
              <w:jc w:val="left"/>
            </w:pPr>
            <w:r>
              <w:t xml:space="preserve">Category</w:t>
            </w:r>
          </w:p>
        </w:tc>
        <w:tc>
          <w:tcPr/>
          <w:p>
            <w:pPr>
              <w:pStyle w:val="Compact"/>
              <w:jc w:val="left"/>
            </w:pPr>
            <w:r>
              <w:t xml:space="preserve">Emissions (kgCO2e/unit)</w:t>
            </w:r>
          </w:p>
        </w:tc>
        <w:tc>
          <w:tcPr/>
          <w:p>
            <w:pPr>
              <w:pStyle w:val="Compact"/>
              <w:jc w:val="left"/>
            </w:pPr>
            <w:r>
              <w:t xml:space="preserve">Percentage of Total</w:t>
            </w:r>
          </w:p>
        </w:tc>
      </w:tr>
      <w:tr>
        <w:tc>
          <w:tcPr/>
          <w:p>
            <w:pPr>
              <w:pStyle w:val="Compact"/>
              <w:jc w:val="left"/>
            </w:pPr>
            <w:r>
              <w:rPr>
                <w:bCs/>
                <w:b/>
              </w:rPr>
              <w:t xml:space="preserve">Scope 1</w:t>
            </w:r>
          </w:p>
        </w:tc>
        <w:tc>
          <w:tcPr/>
          <w:p>
            <w:pPr>
              <w:pStyle w:val="Compact"/>
              <w:jc w:val="left"/>
            </w:pPr>
            <w:r>
              <w:t xml:space="preserve">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w:t>
            </w:r>
          </w:p>
        </w:tc>
        <w:tc>
          <w:tcPr/>
          <w:p>
            <w:pPr>
              <w:pStyle w:val="Compact"/>
              <w:jc w:val="left"/>
            </w:pPr>
            <w:r>
              <w:t xml:space="preserve">Purchased Electricity</w:t>
            </w:r>
          </w:p>
        </w:tc>
        <w:tc>
          <w:tcPr/>
          <w:p>
            <w:pPr>
              <w:pStyle w:val="Compact"/>
              <w:jc w:val="left"/>
            </w:pPr>
            <w:r>
              <w:t xml:space="preserve">0.37</w:t>
            </w:r>
          </w:p>
        </w:tc>
        <w:tc>
          <w:tcPr/>
          <w:p>
            <w:pPr>
              <w:pStyle w:val="Compact"/>
              <w:jc w:val="left"/>
            </w:pPr>
            <w:r>
              <w:t xml:space="preserve">1.6%</w:t>
            </w:r>
          </w:p>
        </w:tc>
      </w:tr>
      <w:tr>
        <w:tc>
          <w:tcPr>
            <w:vMerge w:val="restart"/>
          </w:tcPr>
          <w:p>
            <w:pPr>
              <w:pStyle w:val="Compact"/>
              <w:jc w:val="left"/>
            </w:pPr>
            <w:r>
              <w:rPr>
                <w:bCs/>
                <w:b/>
              </w:rPr>
              <w:t xml:space="preserve">Scope 3</w:t>
            </w:r>
          </w:p>
        </w:tc>
        <w:tc>
          <w:tcPr/>
          <w:p>
            <w:pPr>
              <w:pStyle w:val="Compact"/>
              <w:jc w:val="left"/>
            </w:pPr>
            <w:r>
              <w:t xml:space="preserve">Upstream Materials</w:t>
            </w:r>
          </w:p>
        </w:tc>
        <w:tc>
          <w:tcPr/>
          <w:p>
            <w:pPr>
              <w:pStyle w:val="Compact"/>
              <w:jc w:val="left"/>
            </w:pPr>
            <w:r>
              <w:t xml:space="preserve">2.74</w:t>
            </w:r>
          </w:p>
        </w:tc>
        <w:tc>
          <w:tcPr/>
          <w:p>
            <w:pPr>
              <w:pStyle w:val="Compact"/>
              <w:jc w:val="left"/>
            </w:pPr>
            <w:r>
              <w:t xml:space="preserve">12.0%</w:t>
            </w:r>
          </w:p>
        </w:tc>
      </w:tr>
      <w:tr>
        <w:tc>
          <w:tcPr>
            <w:gridSpan w:val="1"/>
            <w:vMerge w:val="continue"/>
          </w:tcPr>
          <w:p>
            <w:pPr/>
          </w:p>
        </w:tc>
        <w:tc>
          <w:tcPr/>
          <w:p>
            <w:pPr>
              <w:pStyle w:val="Compact"/>
              <w:jc w:val="left"/>
            </w:pPr>
            <w:r>
              <w:t xml:space="preserve">Transport (Upstream &amp; Downstream)</w:t>
            </w:r>
          </w:p>
        </w:tc>
        <w:tc>
          <w:tcPr/>
          <w:p>
            <w:pPr>
              <w:pStyle w:val="Compact"/>
              <w:jc w:val="left"/>
            </w:pPr>
            <w:r>
              <w:t xml:space="preserve">0.23</w:t>
            </w:r>
          </w:p>
        </w:tc>
        <w:tc>
          <w:tcPr/>
          <w:p>
            <w:pPr>
              <w:pStyle w:val="Compact"/>
              <w:jc w:val="left"/>
            </w:pPr>
            <w:r>
              <w:t xml:space="preserve">1.0%</w:t>
            </w:r>
          </w:p>
        </w:tc>
      </w:tr>
      <w:tr>
        <w:tc>
          <w:tcPr>
            <w:gridSpan w:val="1"/>
            <w:vMerge w:val="continue"/>
          </w:tcPr>
          <w:p>
            <w:pPr/>
          </w:p>
        </w:tc>
        <w:tc>
          <w:tcPr/>
          <w:p>
            <w:pPr>
              <w:pStyle w:val="Compact"/>
              <w:jc w:val="left"/>
            </w:pPr>
            <w:r>
              <w:t xml:space="preserve">Use of Sold Products</w:t>
            </w:r>
          </w:p>
        </w:tc>
        <w:tc>
          <w:tcPr/>
          <w:p>
            <w:pPr>
              <w:pStyle w:val="Compact"/>
              <w:jc w:val="left"/>
            </w:pPr>
            <w:r>
              <w:t xml:space="preserve">20.00</w:t>
            </w:r>
          </w:p>
        </w:tc>
        <w:tc>
          <w:tcPr/>
          <w:p>
            <w:pPr>
              <w:pStyle w:val="Compact"/>
              <w:jc w:val="left"/>
            </w:pPr>
            <w:r>
              <w:t xml:space="preserve">87.9%</w:t>
            </w:r>
          </w:p>
        </w:tc>
      </w:tr>
      <w:tr>
        <w:tc>
          <w:tcPr>
            <w:gridSpan w:val="1"/>
            <w:vMerge w:val="continue"/>
          </w:tcPr>
          <w:p>
            <w:pPr/>
          </w:p>
        </w:tc>
        <w:tc>
          <w:tcPr/>
          <w:p>
            <w:pPr>
              <w:pStyle w:val="Compact"/>
              <w:jc w:val="left"/>
            </w:pPr>
            <w:r>
              <w:t xml:space="preserve">End-of-Life Treatment</w:t>
            </w:r>
          </w:p>
        </w:tc>
        <w:tc>
          <w:tcPr/>
          <w:p>
            <w:pPr>
              <w:pStyle w:val="Compact"/>
              <w:jc w:val="left"/>
            </w:pPr>
            <w:r>
              <w:t xml:space="preserve">-0.58</w:t>
            </w:r>
          </w:p>
        </w:tc>
        <w:tc>
          <w:tcPr/>
          <w:p>
            <w:pPr>
              <w:pStyle w:val="Compact"/>
              <w:jc w:val="left"/>
            </w:pPr>
            <w:r>
              <w:t xml:space="preserve">-2.6%</w:t>
            </w:r>
          </w:p>
        </w:tc>
      </w:tr>
      <w:tr>
        <w:tc>
          <w:tcPr>
            <w:gridSpan w:val="2"/>
          </w:tcPr>
          <w:p>
            <w:pPr>
              <w:pStyle w:val="Compact"/>
              <w:jc w:val="left"/>
            </w:pPr>
            <w:r>
              <w:t xml:space="preserve">Total Product Carbon Footprint</w:t>
            </w:r>
          </w:p>
        </w:tc>
        <w:tc>
          <w:tcPr/>
          <w:p>
            <w:pPr>
              <w:pStyle w:val="Compact"/>
              <w:jc w:val="left"/>
            </w:pPr>
            <w:r>
              <w:t xml:space="preserve">22.76</w:t>
            </w:r>
          </w:p>
        </w:tc>
        <w:tc>
          <w:tcPr/>
          <w:p>
            <w:pPr>
              <w:pStyle w:val="Compact"/>
              <w:jc w:val="left"/>
            </w:pPr>
            <w:r>
              <w:t xml:space="preserve">99.9%*</w:t>
            </w:r>
          </w:p>
        </w:tc>
      </w:tr>
    </w:tbl>
    <w:p>
      <w:pPr>
        <w:pStyle w:val="BodyText"/>
      </w:pPr>
      <w:r>
        <w:rPr>
          <w:bCs/>
          <w:b/>
        </w:rPr>
        <w:t xml:space="preserve">Total Product Carbon Footprint for qqfxvlgmnx: 22.76 kgCO2e/unit</w:t>
      </w:r>
    </w:p>
    <w:p>
      <w:pPr>
        <w:pStyle w:val="BodyText"/>
      </w:pPr>
      <w:r>
        <w:rPr>
          <w:iCs/>
          <w:i/>
        </w:rPr>
        <w:t xml:space="preserve">*Note on Percentage: Sum may not equal 100% due to rounding.</w:t>
      </w:r>
    </w:p>
    <w:p>
      <w:pPr>
        <w:pStyle w:val="BodyText"/>
      </w:pPr>
      <w:r>
        <w:rPr>
          <w:iCs/>
          <w:i/>
        </w:rPr>
        <w:t xml:space="preserve">Note on Scope 3 Coverage: Based on the detailed breakdown, upstream materials, transport, use phase, and EoL scenarios are covered. These categories typically represent the most significant portion of a product\'s lifecycle emissions. This report aims for at least 95% coverage for material Scope 3 emissions in line with proposed 2026 GHG Protocol requirements.</w:t>
      </w:r>
    </w:p>
    <w:p>
      <w:r>
        <w:pict>
          <v:rect style="width:0;height:1.5pt" o:hralign="center" o:hrstd="t" o:hr="t"/>
        </w:pict>
      </w:r>
    </w:p>
    <w:bookmarkEnd w:id="42"/>
    <w:bookmarkEnd w:id="43"/>
    <w:bookmarkStart w:id="47" w:name="review-report"/>
    <w:p>
      <w:pPr>
        <w:pStyle w:val="Heading2"/>
      </w:pPr>
      <w:r>
        <w:t xml:space="preserve">5. Review &amp; Report</w:t>
      </w:r>
    </w:p>
    <w:bookmarkStart w:id="44" w:name="hotspot-identification"/>
    <w:p>
      <w:pPr>
        <w:pStyle w:val="Heading3"/>
      </w:pPr>
      <w:r>
        <w:t xml:space="preserve">5.1. Hotspot Identification</w:t>
      </w:r>
    </w:p>
    <w:p>
      <w:pPr>
        <w:pStyle w:val="FirstParagraph"/>
      </w:pPr>
      <w:r>
        <w:t xml:space="preserve">The PCF analysis reveals the following key hotspots in the lifecycle of \'qqfxvlgmnx\':</w:t>
      </w:r>
    </w:p>
    <w:p>
      <w:pPr>
        <w:numPr>
          <w:ilvl w:val="0"/>
          <w:numId w:val="1019"/>
        </w:numPr>
        <w:pStyle w:val="Compact"/>
      </w:pPr>
      <w:r>
        <w:rPr>
          <w:bCs/>
          <w:b/>
        </w:rPr>
        <w:t xml:space="preserve">Use Phase (87.9%):</w:t>
      </w:r>
      <w:r>
        <w:t xml:space="preserve"> </w:t>
      </w:r>
      <w:r>
        <w:t xml:space="preserve">This is overwhelmingly the largest contributor to the product\'s carbon footprint, primarily due to electricity consumption over its 5-year lifespan.</w:t>
      </w:r>
    </w:p>
    <w:p>
      <w:pPr>
        <w:numPr>
          <w:ilvl w:val="0"/>
          <w:numId w:val="1019"/>
        </w:numPr>
        <w:pStyle w:val="Compact"/>
      </w:pPr>
      <w:r>
        <w:rPr>
          <w:bCs/>
          <w:b/>
        </w:rPr>
        <w:t xml:space="preserve">Upstream Materials (12.0%):</w:t>
      </w:r>
      <w:r>
        <w:t xml:space="preserve"> </w:t>
      </w:r>
      <w:r>
        <w:t xml:space="preserve">The production of raw materials and components, particularly the "Circuit Board" (1.50 kgCO2e) and "Main Housing" (0.80 kgCO2e), represents a significant impact.</w:t>
      </w:r>
    </w:p>
    <w:p>
      <w:pPr>
        <w:numPr>
          <w:ilvl w:val="0"/>
          <w:numId w:val="1019"/>
        </w:numPr>
        <w:pStyle w:val="Compact"/>
      </w:pPr>
      <w:r>
        <w:rPr>
          <w:bCs/>
          <w:b/>
        </w:rPr>
        <w:t xml:space="preserve">End-of-Life (-2.6%):</w:t>
      </w:r>
      <w:r>
        <w:t xml:space="preserve"> </w:t>
      </w:r>
      <w:r>
        <w:t xml:space="preserve">The high recyclability percentage results in a net credit, indicating the positive impact of circular economy initiatives and avoided emissions.</w:t>
      </w:r>
    </w:p>
    <w:p>
      <w:pPr>
        <w:numPr>
          <w:ilvl w:val="0"/>
          <w:numId w:val="1019"/>
        </w:numPr>
        <w:pStyle w:val="Compact"/>
      </w:pPr>
      <w:r>
        <w:rPr>
          <w:bCs/>
          <w:b/>
        </w:rPr>
        <w:t xml:space="preserve">Transport (1.0%):</w:t>
      </w:r>
      <w:r>
        <w:t xml:space="preserve"> </w:t>
      </w:r>
      <w:r>
        <w:t xml:space="preserve">While a smaller percentage of the total, efforts to optimize transport efficiency remain relevant.</w:t>
      </w:r>
    </w:p>
    <w:bookmarkEnd w:id="44"/>
    <w:bookmarkStart w:id="45" w:name="reliability-assessment"/>
    <w:p>
      <w:pPr>
        <w:pStyle w:val="Heading3"/>
      </w:pPr>
      <w:r>
        <w:t xml:space="preserve">5.2. Reliability Assessment</w:t>
      </w:r>
    </w:p>
    <w:p>
      <w:pPr>
        <w:pStyle w:val="FirstParagraph"/>
      </w:pPr>
      <w:r>
        <w:t xml:space="preserve">The reliability of this PCF is considered moderate-to-high, based on the following factors:</w:t>
      </w:r>
    </w:p>
    <w:p>
      <w:pPr>
        <w:numPr>
          <w:ilvl w:val="0"/>
          <w:numId w:val="1020"/>
        </w:numPr>
        <w:pStyle w:val="Compact"/>
      </w:pPr>
      <w:r>
        <w:rPr>
          <w:bCs/>
          <w:b/>
        </w:rPr>
        <w:t xml:space="preserve">Methodology:</w:t>
      </w:r>
      <w:r>
        <w:t xml:space="preserve"> </w:t>
      </w:r>
      <w:r>
        <w:t xml:space="preserve">Adherence to the GHG Protocol ensures a robust and recognized accounting framework.</w:t>
      </w:r>
    </w:p>
    <w:p>
      <w:pPr>
        <w:numPr>
          <w:ilvl w:val="0"/>
          <w:numId w:val="1020"/>
        </w:numPr>
        <w:pStyle w:val="Compact"/>
      </w:pPr>
      <w:r>
        <w:rPr>
          <w:bCs/>
          <w:b/>
        </w:rPr>
        <w:t xml:space="preserve">Data Quality:</w:t>
      </w:r>
      <w:r>
        <w:t xml:space="preserve"> </w:t>
      </w:r>
      <w:r>
        <w:t xml:space="preserve">Direct BOM data (example provided) for materials enhances accuracy. However, example values were used for transport distances, energy intensity, renewable usage, lifespan, and use-phase consumption due to the generic input strings, which introduce some level of uncertainty.</w:t>
      </w:r>
    </w:p>
    <w:p>
      <w:pPr>
        <w:numPr>
          <w:ilvl w:val="0"/>
          <w:numId w:val="1020"/>
        </w:numPr>
        <w:pStyle w:val="Compact"/>
      </w:pPr>
      <w:r>
        <w:rPr>
          <w:bCs/>
          <w:b/>
        </w:rPr>
        <w:t xml:space="preserve">Emission Factors:</w:t>
      </w:r>
      <w:r>
        <w:t xml:space="preserve"> </w:t>
      </w:r>
      <w:r>
        <w:t xml:space="preserve">Industry-standard emission factors from reputable sources (e.g., IEA, DEFRA, EPA equivalents) were used where specific ones were not provided, providing a good approximation.</w:t>
      </w:r>
    </w:p>
    <w:p>
      <w:pPr>
        <w:numPr>
          <w:ilvl w:val="0"/>
          <w:numId w:val="1020"/>
        </w:numPr>
        <w:pStyle w:val="Compact"/>
      </w:pPr>
      <w:r>
        <w:rPr>
          <w:bCs/>
          <w:b/>
        </w:rPr>
        <w:t xml:space="preserve">System Boundary:</w:t>
      </w:r>
      <w:r>
        <w:t xml:space="preserve"> </w:t>
      </w:r>
      <w:r>
        <w:t xml:space="preserve">The "factory_gate" boundary with extended use-phase and EoL provides a comprehensive view.</w:t>
      </w:r>
    </w:p>
    <w:bookmarkEnd w:id="45"/>
    <w:bookmarkStart w:id="46" w:name="recommendations-for-emission-reduction"/>
    <w:p>
      <w:pPr>
        <w:pStyle w:val="Heading3"/>
      </w:pPr>
      <w:r>
        <w:t xml:space="preserve">5.3. Recommendations for Emission Reduction</w:t>
      </w:r>
    </w:p>
    <w:p>
      <w:pPr>
        <w:pStyle w:val="FirstParagraph"/>
      </w:pPr>
      <w:r>
        <w:t xml:space="preserve">Based on the identified hotspots, the following recommendations are made for uqonxevide to reduce the carbon footprint of \'qqfxvlgmnx\':</w:t>
      </w:r>
    </w:p>
    <w:p>
      <w:pPr>
        <w:numPr>
          <w:ilvl w:val="0"/>
          <w:numId w:val="1021"/>
        </w:numPr>
        <w:pStyle w:val="Compact"/>
      </w:pPr>
      <w:r>
        <w:rPr>
          <w:bCs/>
          <w:b/>
        </w:rPr>
        <w:t xml:space="preserve">Prioritize Use Phase Efficiency:</w:t>
      </w:r>
    </w:p>
    <w:p>
      <w:pPr>
        <w:numPr>
          <w:ilvl w:val="1"/>
          <w:numId w:val="1022"/>
        </w:numPr>
        <w:pStyle w:val="Compact"/>
      </w:pPr>
      <w:r>
        <w:rPr>
          <w:bCs/>
          <w:b/>
        </w:rPr>
        <w:t xml:space="preserve">Energy Optimization:</w:t>
      </w:r>
      <w:r>
        <w:t xml:space="preserve"> </w:t>
      </w:r>
      <w:r>
        <w:t xml:space="preserve">Invest in R&amp;D to significantly reduce the product\'s energy consumption during its operational lifespan. This is the single most impactful area for reduction.</w:t>
      </w:r>
    </w:p>
    <w:p>
      <w:pPr>
        <w:numPr>
          <w:ilvl w:val="1"/>
          <w:numId w:val="1022"/>
        </w:numPr>
        <w:pStyle w:val="Compact"/>
      </w:pPr>
      <w:r>
        <w:rPr>
          <w:bCs/>
          <w:b/>
        </w:rPr>
        <w:t xml:space="preserve">Extend Lifespan:</w:t>
      </w:r>
      <w:r>
        <w:t xml:space="preserve"> </w:t>
      </w:r>
      <w:r>
        <w:t xml:space="preserve">Design for durability and repairability to further extend the product\'s useful life, reducing the need for new units.</w:t>
      </w:r>
    </w:p>
    <w:p>
      <w:pPr>
        <w:numPr>
          <w:ilvl w:val="0"/>
          <w:numId w:val="1021"/>
        </w:numPr>
        <w:pStyle w:val="Compact"/>
      </w:pPr>
      <w:r>
        <w:rPr>
          <w:bCs/>
          <w:b/>
        </w:rPr>
        <w:t xml:space="preserve">Optimize Material Sourcing:</w:t>
      </w:r>
    </w:p>
    <w:p>
      <w:pPr>
        <w:numPr>
          <w:ilvl w:val="1"/>
          <w:numId w:val="1023"/>
        </w:numPr>
        <w:pStyle w:val="Compact"/>
      </w:pPr>
      <w:r>
        <w:rPr>
          <w:bCs/>
          <w:b/>
        </w:rPr>
        <w:t xml:space="preserve">Low-Carbon Materials:</w:t>
      </w:r>
      <w:r>
        <w:t xml:space="preserve"> </w:t>
      </w:r>
      <w:r>
        <w:t xml:space="preserve">Explore alternative materials with lower inherent carbon footprints, especially for high-impact components like circuit boards and plastic housings.</w:t>
      </w:r>
    </w:p>
    <w:p>
      <w:pPr>
        <w:numPr>
          <w:ilvl w:val="1"/>
          <w:numId w:val="1023"/>
        </w:numPr>
        <w:pStyle w:val="Compact"/>
      </w:pPr>
      <w:r>
        <w:rPr>
          <w:bCs/>
          <w:b/>
        </w:rPr>
        <w:t xml:space="preserve">Recycled Content:</w:t>
      </w:r>
      <w:r>
        <w:t xml:space="preserve"> </w:t>
      </w:r>
      <w:r>
        <w:t xml:space="preserve">Increase the percentage of recycled content in materials to leverage recycling credits and reduce virgin material impacts, focusing on plastics and metals.</w:t>
      </w:r>
    </w:p>
    <w:p>
      <w:pPr>
        <w:numPr>
          <w:ilvl w:val="0"/>
          <w:numId w:val="1021"/>
        </w:numPr>
        <w:pStyle w:val="Compact"/>
      </w:pPr>
      <w:r>
        <w:rPr>
          <w:bCs/>
          <w:b/>
        </w:rPr>
        <w:t xml:space="preserve">Enhance Manufacturing Energy Profile:</w:t>
      </w:r>
    </w:p>
    <w:p>
      <w:pPr>
        <w:numPr>
          <w:ilvl w:val="1"/>
          <w:numId w:val="1024"/>
        </w:numPr>
        <w:pStyle w:val="Compact"/>
      </w:pPr>
      <w:r>
        <w:rPr>
          <w:bCs/>
          <w:b/>
        </w:rPr>
        <w:t xml:space="preserve">100% Renewable Energy:</w:t>
      </w:r>
      <w:r>
        <w:t xml:space="preserve"> </w:t>
      </w:r>
      <w:r>
        <w:t xml:space="preserve">Strive for 100% renewable energy procurement for the manufacturing facility in China, either through on-site generation or certified renewable energy credits/PPAs.</w:t>
      </w:r>
    </w:p>
    <w:p>
      <w:pPr>
        <w:numPr>
          <w:ilvl w:val="1"/>
          <w:numId w:val="1024"/>
        </w:numPr>
        <w:pStyle w:val="Compact"/>
      </w:pPr>
      <w:r>
        <w:rPr>
          <w:bCs/>
          <w:b/>
        </w:rPr>
        <w:t xml:space="preserve">Energy Efficiency:</w:t>
      </w:r>
      <w:r>
        <w:t xml:space="preserve"> </w:t>
      </w:r>
      <w:r>
        <w:t xml:space="preserve">Implement advanced energy efficiency measures in the production processes.</w:t>
      </w:r>
    </w:p>
    <w:p>
      <w:pPr>
        <w:numPr>
          <w:ilvl w:val="0"/>
          <w:numId w:val="1021"/>
        </w:numPr>
        <w:pStyle w:val="Compact"/>
      </w:pPr>
      <w:r>
        <w:rPr>
          <w:bCs/>
          <w:b/>
        </w:rPr>
        <w:t xml:space="preserve">Refine Logistics:</w:t>
      </w:r>
    </w:p>
    <w:p>
      <w:pPr>
        <w:numPr>
          <w:ilvl w:val="1"/>
          <w:numId w:val="1025"/>
        </w:numPr>
        <w:pStyle w:val="Compact"/>
      </w:pPr>
      <w:r>
        <w:rPr>
          <w:bCs/>
          <w:b/>
        </w:rPr>
        <w:t xml:space="preserve">Supply Chain Optimization:</w:t>
      </w:r>
      <w:r>
        <w:t xml:space="preserve"> </w:t>
      </w:r>
      <w:r>
        <w:t xml:space="preserve">Strategically locate suppliers to minimize transport distances and utilize more efficient transport modes (e.g., rail or sea freight where feasible).</w:t>
      </w:r>
    </w:p>
    <w:p>
      <w:pPr>
        <w:numPr>
          <w:ilvl w:val="1"/>
          <w:numId w:val="1025"/>
        </w:numPr>
        <w:pStyle w:val="Compact"/>
      </w:pPr>
      <w:r>
        <w:rPr>
          <w:bCs/>
          <w:b/>
        </w:rPr>
        <w:t xml:space="preserve">Green Last-Mile:</w:t>
      </w:r>
      <w:r>
        <w:t xml:space="preserve"> </w:t>
      </w:r>
      <w:r>
        <w:t xml:space="preserve">Partner with logistics providers utilizing electric vehicles or optimized routing for last-mile delivery.</w:t>
      </w:r>
    </w:p>
    <w:p>
      <w:pPr>
        <w:numPr>
          <w:ilvl w:val="0"/>
          <w:numId w:val="1021"/>
        </w:numPr>
        <w:pStyle w:val="Compact"/>
      </w:pPr>
      <w:r>
        <w:rPr>
          <w:bCs/>
          <w:b/>
        </w:rPr>
        <w:t xml:space="preserve">Strengthen Circular Economy Initiatives:</w:t>
      </w:r>
    </w:p>
    <w:p>
      <w:pPr>
        <w:numPr>
          <w:ilvl w:val="1"/>
          <w:numId w:val="1026"/>
        </w:numPr>
        <w:pStyle w:val="Compact"/>
      </w:pPr>
      <w:r>
        <w:rPr>
          <w:bCs/>
          <w:b/>
        </w:rPr>
        <w:t xml:space="preserve">Expand Take-back Programs:</w:t>
      </w:r>
      <w:r>
        <w:t xml:space="preserve"> </w:t>
      </w:r>
      <w:r>
        <w:t xml:space="preserve">Broaden the reach and efficiency of the product take-back scheme to ensure maximum recovery and high-quality recycling or refurbishment.</w:t>
      </w:r>
    </w:p>
    <w:p>
      <w:pPr>
        <w:numPr>
          <w:ilvl w:val="1"/>
          <w:numId w:val="1026"/>
        </w:numPr>
        <w:pStyle w:val="Compact"/>
      </w:pPr>
      <w:r>
        <w:rPr>
          <w:bCs/>
          <w:b/>
        </w:rPr>
        <w:t xml:space="preserve">Design for Disassembly:</w:t>
      </w:r>
      <w:r>
        <w:t xml:space="preserve"> </w:t>
      </w:r>
      <w:r>
        <w:t xml:space="preserve">Design the product for easy disassembly to facilitate material recovery and recycling at end-of-life.</w:t>
      </w:r>
    </w:p>
    <w:bookmarkEnd w:id="46"/>
    <w:bookmarkEnd w:id="47"/>
    <w:bookmarkStart w:id="48" w:name="conclusion"/>
    <w:p>
      <w:pPr>
        <w:pStyle w:val="Heading2"/>
      </w:pPr>
      <w:r>
        <w:t xml:space="preserve">Conclusion</w:t>
      </w:r>
    </w:p>
    <w:p>
      <w:pPr>
        <w:pStyle w:val="FirstParagraph"/>
      </w:pPr>
      <w:r>
        <w:t xml:space="preserve">This Product Carbon Footprint analysis provides \'uqonxevide\' with a clear understanding of the environmental impact of \'qqfxvlgmnx\'. The use phase and upstream materials are identified as primary drivers of emissions. By strategically focusing on energy efficiency, sustainable material choices, and robust circular economy programs, \'uqonxevide\' can significantly reduce the product\'s carbon footprint, aligning with global sustainability goals and the stringent requirements of the GHG Protocol and the emerging 2026 LSR Standard. Continuous monitoring and granular data collection across the value chain will further enhance the accuracy and actionable insights of future PCF assessments.</w:t>
      </w:r>
    </w:p>
    <w:p>
      <w:r>
        <w:pict>
          <v:rect style="width:0;height:1.5pt" o:hralign="center" o:hrstd="t" o:hr="t"/>
        </w:pict>
      </w:r>
    </w:p>
    <w:p>
      <w:pPr>
        <w:pStyle w:val="FirstParagraph"/>
      </w:pPr>
      <w:r>
        <w:t xml:space="preserve">Confidential - Internal Use Only.</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qqfxvlgmnx</dc:title>
  <dc:creator/>
  <dc:description>Detailed Product Carbon Footprint (PCF) analysis report for qqfxvlgmnx by uqonxevide, prepared by Senior Sustainability Consultant mjysvuxghi, adhering to GHG Protocol standards and 2026 LSR updates.</dc:description>
  <cp:keywords/>
  <dcterms:created xsi:type="dcterms:W3CDTF">2026-07-15T02:06:56Z</dcterms:created>
  <dcterms:modified xsi:type="dcterms:W3CDTF">2026-07-15T02:06:56Z</dcterms:modified>
</cp:coreProperties>
</file>

<file path=docProps/custom.xml><?xml version="1.0" encoding="utf-8"?>
<Properties xmlns="http://schemas.openxmlformats.org/officeDocument/2006/custom-properties" xmlns:vt="http://schemas.openxmlformats.org/officeDocument/2006/docPropsVTypes"/>
</file>