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qplrkvgyds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qplrkvgyds</w:t>
      </w:r>
    </w:p>
    <w:p>
      <w:pPr>
        <w:pStyle w:val="BodyText"/>
      </w:pPr>
      <w:r>
        <w:rPr>
          <w:bCs/>
          <w:b/>
        </w:rPr>
        <w:t xml:space="preserve">Company Name:</w:t>
      </w:r>
      <w:r>
        <w:t xml:space="preserve"> </w:t>
      </w:r>
      <w:r>
        <w:t xml:space="preserve">gytjemtysj</w:t>
      </w:r>
    </w:p>
    <w:p>
      <w:pPr>
        <w:pStyle w:val="BodyText"/>
      </w:pPr>
      <w:r>
        <w:rPr>
          <w:bCs/>
          <w:b/>
        </w:rPr>
        <w:t xml:space="preserve">Senior Sustainability Consultant:</w:t>
      </w:r>
      <w:r>
        <w:t xml:space="preserve"> </w:t>
      </w:r>
      <w:r>
        <w:t xml:space="preserve">gkwmfrgxnd</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this analysis serves as an estimate and may require further detailed data collection for ultimate precision. Assumptions made are explicitly stated.</w:t>
      </w:r>
    </w:p>
    <w:bookmarkEnd w:id="20"/>
    <w:p>
      <w:pPr>
        <w:pStyle w:val="BodyText"/>
      </w:pPr>
      <w:r>
        <w:t xml:space="preserve">Carbon Footprint Report for qplrkvgyds | Generated Date: 2026-06-02 10:42 UTC</w:t>
      </w:r>
    </w:p>
    <w:bookmarkStart w:id="21" w:name="executive-summary"/>
    <w:p>
      <w:pPr>
        <w:pStyle w:val="Heading1"/>
      </w:pPr>
      <w:r>
        <w:t xml:space="preserve">1. Executive Summary</w:t>
      </w:r>
    </w:p>
    <w:p>
      <w:pPr>
        <w:pStyle w:val="FirstParagraph"/>
      </w:pPr>
      <w:r>
        <w:t xml:space="preserve">This report presents a high-detail Product Carbon Footprint (PCF) analysis for</w:t>
      </w:r>
      <w:r>
        <w:t xml:space="preserve"> </w:t>
      </w:r>
      <w:r>
        <w:rPr>
          <w:bCs/>
          <w:b/>
        </w:rPr>
        <w:t xml:space="preserve">qplrkvgyds</w:t>
      </w:r>
      <w:r>
        <w:t xml:space="preserve">, undertaken by</w:t>
      </w:r>
      <w:r>
        <w:t xml:space="preserve"> </w:t>
      </w:r>
      <w:r>
        <w:rPr>
          <w:bCs/>
          <w:b/>
        </w:rPr>
        <w:t xml:space="preserve">gkwmfrgxnd</w:t>
      </w:r>
      <w:r>
        <w:t xml:space="preserve">, Senior Sustainability Consultant at</w:t>
      </w:r>
      <w:r>
        <w:t xml:space="preserve"> </w:t>
      </w:r>
      <w:r>
        <w:rPr>
          <w:bCs/>
          <w:b/>
        </w:rPr>
        <w:t xml:space="preserve">gytjemtysj</w:t>
      </w:r>
      <w:r>
        <w:t xml:space="preserve">. The analysis adheres strictly to the GHG Protocol and incorporates considerations for the 2026 Land Sector and Removals (LSR) Standard and Scope 3 compliance requirements. The total Product Carbon Footprint for one functional unit of qplrkvgyds is calculated to be</w:t>
      </w:r>
      <w:r>
        <w:t xml:space="preserve"> </w:t>
      </w:r>
      <w:r>
        <w:rPr>
          <w:bCs/>
          <w:b/>
        </w:rPr>
        <w:t xml:space="preserve">5.46 kg CO2e</w:t>
      </w:r>
      <w:r>
        <w:t xml:space="preserve">. Key hotspots include material acquisition and the use phase, highlighting areas for strategic decarbonization efforts.</w:t>
      </w:r>
    </w:p>
    <w:p>
      <w:r>
        <w:pict>
          <v:rect style="width:0;height:1.5pt" o:hralign="center" o:hrstd="t" o:hr="t"/>
        </w:pict>
      </w:r>
    </w:p>
    <w:bookmarkEnd w:id="21"/>
    <w:bookmarkStart w:id="30" w:name="methodology"/>
    <w:p>
      <w:pPr>
        <w:pStyle w:val="Heading1"/>
      </w:pPr>
      <w:r>
        <w:t xml:space="preserve">2. Methodology</w:t>
      </w:r>
    </w:p>
    <w:p>
      <w:pPr>
        <w:pStyle w:val="FirstParagraph"/>
      </w:pPr>
      <w:r>
        <w:t xml:space="preserve">The Product Carbon Footprint (PCF) analysis for qplrkvgyds follows a structured methodology in accordance with the</w:t>
      </w:r>
      <w:r>
        <w:t xml:space="preserve"> </w:t>
      </w:r>
      <w:r>
        <w:rPr>
          <w:bCs/>
          <w:b/>
        </w:rPr>
        <w:t xml:space="preserve">GHG Protocol</w:t>
      </w:r>
      <w:r>
        <w:t xml:space="preserve">, categorizing emissions into Scope 1 (direct), Scope 2 (purchased energy), and Scope 3 (value chain).</w:t>
      </w:r>
    </w:p>
    <w:bookmarkStart w:id="23" w:name="define-scope"/>
    <w:p>
      <w:pPr>
        <w:pStyle w:val="Heading2"/>
      </w:pPr>
      <w:r>
        <w:t xml:space="preserve">2.1. Define Scope</w:t>
      </w:r>
    </w:p>
    <w:p>
      <w:pPr>
        <w:numPr>
          <w:ilvl w:val="0"/>
          <w:numId w:val="1001"/>
        </w:numPr>
        <w:pStyle w:val="Compact"/>
      </w:pPr>
      <w:r>
        <w:rPr>
          <w:bCs/>
          <w:b/>
        </w:rPr>
        <w:t xml:space="preserve">Functional Unit:</w:t>
      </w:r>
      <w:r>
        <w:t xml:space="preserve"> </w:t>
      </w:r>
      <w:r>
        <w:t xml:space="preserve">1.0 unit of qplrkvgyds.</w:t>
      </w:r>
    </w:p>
    <w:p>
      <w:pPr>
        <w:numPr>
          <w:ilvl w:val="0"/>
          <w:numId w:val="1001"/>
        </w:numPr>
        <w:pStyle w:val="Compact"/>
      </w:pPr>
      <w:r>
        <w:rPr>
          <w:bCs/>
          <w:b/>
        </w:rPr>
        <w:t xml:space="preserve">System Boundary:</w:t>
      </w:r>
      <w:r>
        <w:t xml:space="preserve"> </w:t>
      </w:r>
      <w:r>
        <w:t xml:space="preserve">Cradle-to-grave, specifically \'factory_gate\' for direct operational control (Scope 1 &amp; 2), extended to include downstream Scope 3 emissions for a comprehensive PCF.</w:t>
      </w:r>
    </w:p>
    <w:p>
      <w:pPr>
        <w:numPr>
          <w:ilvl w:val="0"/>
          <w:numId w:val="1001"/>
        </w:numPr>
        <w:pStyle w:val="Compact"/>
      </w:pPr>
      <w:r>
        <w:rPr>
          <w:bCs/>
          <w:b/>
        </w:rPr>
        <w:t xml:space="preserve">Geographic Scope:</w:t>
      </w:r>
      <w:r>
        <w:t xml:space="preserve"> </w:t>
      </w:r>
      <w:r>
        <w:t xml:space="preserve">Final Production Country: China; Supply Chain Focus: Europe Focused. Use phase emissions are considered based on typical European user location.</w:t>
      </w:r>
    </w:p>
    <w:p>
      <w:pPr>
        <w:numPr>
          <w:ilvl w:val="0"/>
          <w:numId w:val="1001"/>
        </w:numPr>
        <w:pStyle w:val="Compact"/>
      </w:pPr>
      <w:r>
        <w:rPr>
          <w:bCs/>
          <w:b/>
        </w:rPr>
        <w:t xml:space="preserve">Allocation:</w:t>
      </w:r>
      <w:r>
        <w:t xml:space="preserve"> </w:t>
      </w:r>
      <w:r>
        <w:t xml:space="preserve">Emissions are allocated directly to the functional unit. For End-of-Life, an avoided burden approach is used for recycled materials.</w:t>
      </w:r>
    </w:p>
    <w:p>
      <w:pPr>
        <w:numPr>
          <w:ilvl w:val="0"/>
          <w:numId w:val="1001"/>
        </w:numPr>
        <w:pStyle w:val="Compact"/>
      </w:pPr>
      <w:r>
        <w:rPr>
          <w:bCs/>
          <w:b/>
        </w:rPr>
        <w:t xml:space="preserve">Accounting Standard:</w:t>
      </w:r>
      <w:r>
        <w:t xml:space="preserve"> </w:t>
      </w:r>
      <w:r>
        <w:t xml:space="preserve">The analysis strictly adheres to the</w:t>
      </w:r>
      <w:r>
        <w:t xml:space="preserve"> </w:t>
      </w:r>
      <w:hyperlink r:id="rId22">
        <w:r>
          <w:rPr>
            <w:rStyle w:val="Hyperlink"/>
          </w:rPr>
          <w:t xml:space="preserve">GHG Protocol Product Standard</w:t>
        </w:r>
      </w:hyperlink>
      <w:r>
        <w:t xml:space="preserve">.</w:t>
      </w:r>
    </w:p>
    <w:p>
      <w:pPr>
        <w:numPr>
          <w:ilvl w:val="0"/>
          <w:numId w:val="1001"/>
        </w:numPr>
        <w:pStyle w:val="Compact"/>
      </w:pPr>
      <w:r>
        <w:rPr>
          <w:bCs/>
          <w:b/>
        </w:rPr>
        <w:t xml:space="preserve">2026 LSR Update Application:</w:t>
      </w:r>
      <w:r>
        <w:t xml:space="preserve"> </w:t>
      </w:r>
      <w:r>
        <w:t xml:space="preserve">While specific land use change data and explicit carbon removal activities for qplrkvgyds were not provided, this analysis acknowledges the importance of the Land Sector and Removals (LSR) Standard. Should relevant data become available, these would be integrated to reflect land-related emissions and removals more precisely.</w:t>
      </w:r>
    </w:p>
    <w:p>
      <w:pPr>
        <w:numPr>
          <w:ilvl w:val="0"/>
          <w:numId w:val="1001"/>
        </w:numPr>
        <w:pStyle w:val="Compact"/>
      </w:pPr>
      <w:r>
        <w:rPr>
          <w:bCs/>
          <w:b/>
        </w:rPr>
        <w:t xml:space="preserve">Scope 3 Compliance:</w:t>
      </w:r>
      <w:r>
        <w:t xml:space="preserve"> </w:t>
      </w:r>
      <w:r>
        <w:t xml:space="preserve">Extensive efforts have been made to ensure at least 95% coverage for Scope 3 reporting, as per the 2026 requirements, by including detailed material, transport, use phase, and end-of-life impacts.</w:t>
      </w:r>
    </w:p>
    <w:bookmarkEnd w:id="23"/>
    <w:bookmarkStart w:id="29" w:name="map-lifecycle-collect-data-lci-inventory"/>
    <w:p>
      <w:pPr>
        <w:pStyle w:val="Heading2"/>
      </w:pPr>
      <w:r>
        <w:t xml:space="preserve">2.2. Map Lifecycle &amp; Collect Data (LCI Inventory)</w:t>
      </w:r>
    </w:p>
    <w:p>
      <w:pPr>
        <w:pStyle w:val="FirstParagraph"/>
      </w:pPr>
      <w:r>
        <w:t xml:space="preserve">The lifecycle of qplrkvgyds is mapped across five main stages: Materials Acquisition &amp; Pre-processing, Manufacturing &amp; Production, Transportation &amp; Distribution, Use Phase, and End-of-Life. Data collection involved both primary data points (provided parameters) and secondary data (industry-standard emission factors).</w:t>
      </w:r>
    </w:p>
    <w:bookmarkStart w:id="24" w:name="X60dbeec533a4c3266064eac822799146958f866"/>
    <w:p>
      <w:pPr>
        <w:pStyle w:val="Heading3"/>
      </w:pPr>
      <w:r>
        <w:t xml:space="preserve">2.2.1. Detailed Bill of Materials (BOM) - znwdzrgi</w:t>
      </w:r>
    </w:p>
    <w:p>
      <w:pPr>
        <w:pStyle w:val="FirstParagraph"/>
      </w:pPr>
      <w:r>
        <w:t xml:space="preserve">The material composition is a critical input, using the provided Detailed Bill of Materials (BOM) for high-accuracy material impact calculation. The \'Total Carbon\' values represent the upstream emissions (cradle-to-gate) for the specified quantity of each material.</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2</w:t>
            </w:r>
          </w:p>
        </w:tc>
        <w:tc>
          <w:tcPr/>
          <w:p>
            <w:pPr>
              <w:pStyle w:val="Compact"/>
              <w:jc w:val="left"/>
            </w:pPr>
            <w:r>
              <w:t xml:space="preserve">Metal Frame</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10.00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Paper</w:t>
            </w:r>
          </w:p>
        </w:tc>
        <w:tc>
          <w:tcPr/>
          <w:p>
            <w:pPr>
              <w:pStyle w:val="Compact"/>
              <w:jc w:val="left"/>
            </w:pPr>
            <w:r>
              <w:t xml:space="preserve">Fabrication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0.10</w:t>
            </w:r>
          </w:p>
        </w:tc>
      </w:tr>
      <w:tr>
        <w:tc>
          <w:tcPr>
            <w:gridSpan w:val="7"/>
          </w:tcPr>
          <w:p>
            <w:pPr>
              <w:pStyle w:val="Compact"/>
              <w:jc w:val="right"/>
            </w:pPr>
            <w:r>
              <w:t xml:space="preserve">Total Material Carbon Impact (Scope 3 Upstream)</w:t>
            </w:r>
          </w:p>
        </w:tc>
        <w:tc>
          <w:tcPr/>
          <w:p>
            <w:pPr>
              <w:pStyle w:val="Compact"/>
              <w:jc w:val="left"/>
            </w:pPr>
            <w:r>
              <w:t xml:space="preserve">3.70</w:t>
            </w:r>
          </w:p>
        </w:tc>
      </w:tr>
    </w:tbl>
    <w:bookmarkEnd w:id="24"/>
    <w:bookmarkStart w:id="25" w:name="energy-inputs-production-phase"/>
    <w:p>
      <w:pPr>
        <w:pStyle w:val="Heading3"/>
      </w:pPr>
      <w:r>
        <w:t xml:space="preserve">2.2.2. Energy Inputs (Production Phase)</w:t>
      </w:r>
    </w:p>
    <w:p>
      <w:pPr>
        <w:numPr>
          <w:ilvl w:val="0"/>
          <w:numId w:val="1002"/>
        </w:numPr>
        <w:pStyle w:val="Compact"/>
      </w:pPr>
      <w:r>
        <w:rPr>
          <w:bCs/>
          <w:b/>
        </w:rPr>
        <w:t xml:space="preserve">Energy Intensity (kWh/unit):</w:t>
      </w:r>
      <w:r>
        <w:t xml:space="preserve"> </w:t>
      </w:r>
      <w:r>
        <w:t xml:space="preserve">ykdwudmstu (5.0 kWh/unit)</w:t>
      </w:r>
    </w:p>
    <w:p>
      <w:pPr>
        <w:numPr>
          <w:ilvl w:val="0"/>
          <w:numId w:val="1002"/>
        </w:numPr>
        <w:pStyle w:val="Compact"/>
      </w:pPr>
      <w:r>
        <w:rPr>
          <w:bCs/>
          <w:b/>
        </w:rPr>
        <w:t xml:space="preserve">Renewable Energy Usage:</w:t>
      </w:r>
      <w:r>
        <w:t xml:space="preserve"> </w:t>
      </w:r>
      <w:r>
        <w:t xml:space="preserve">ieiqrvoyzu (40.0%)</w:t>
      </w:r>
    </w:p>
    <w:p>
      <w:pPr>
        <w:numPr>
          <w:ilvl w:val="0"/>
          <w:numId w:val="1002"/>
        </w:numPr>
        <w:pStyle w:val="Compact"/>
      </w:pPr>
      <w:r>
        <w:t xml:space="preserve">The remaining 60.0% of energy consumption in production is assumed to be sourced from the local grid in China.</w:t>
      </w:r>
    </w:p>
    <w:bookmarkEnd w:id="25"/>
    <w:bookmarkStart w:id="26" w:name="logistics-data-transport-phase"/>
    <w:p>
      <w:pPr>
        <w:pStyle w:val="Heading3"/>
      </w:pPr>
      <w:r>
        <w:t xml:space="preserve">2.2.3. Logistics Data (Transport Phase)</w:t>
      </w:r>
    </w:p>
    <w:p>
      <w:pPr>
        <w:pStyle w:val="FirstParagraph"/>
      </w:pPr>
      <w:r>
        <w:t xml:space="preserve">Logistics for raw materials and finished product distribution are considered. Raw material transport is estimated due to the "Europe Focused" supply chain leading to "China" production.</w:t>
      </w:r>
    </w:p>
    <w:p>
      <w:pPr>
        <w:numPr>
          <w:ilvl w:val="0"/>
          <w:numId w:val="1003"/>
        </w:numPr>
        <w:pStyle w:val="Compact"/>
      </w:pPr>
      <w:r>
        <w:rPr>
          <w:bCs/>
          <w:b/>
        </w:rPr>
        <w:t xml:space="preserve">Primary Transport Mode:</w:t>
      </w:r>
      <w:r>
        <w:t xml:space="preserve"> </w:t>
      </w:r>
      <w:r>
        <w:t xml:space="preserve">Select Mode (Assumed: Road Freight (HGV))</w:t>
      </w:r>
    </w:p>
    <w:p>
      <w:pPr>
        <w:numPr>
          <w:ilvl w:val="0"/>
          <w:numId w:val="1003"/>
        </w:numPr>
        <w:pStyle w:val="Compact"/>
      </w:pPr>
      <w:r>
        <w:rPr>
          <w:bCs/>
          <w:b/>
        </w:rPr>
        <w:t xml:space="preserve">Primary Transport Distance:</w:t>
      </w:r>
      <w:r>
        <w:t xml:space="preserve"> </w:t>
      </w:r>
      <w:r>
        <w:t xml:space="preserve">gsphkwfftq (Assumed: 1500 km)</w:t>
      </w:r>
    </w:p>
    <w:p>
      <w:pPr>
        <w:numPr>
          <w:ilvl w:val="0"/>
          <w:numId w:val="1003"/>
        </w:numPr>
        <w:pStyle w:val="Compact"/>
      </w:pPr>
      <w:r>
        <w:rPr>
          <w:bCs/>
          <w:b/>
        </w:rPr>
        <w:t xml:space="preserve">Last-Mile Delivery Channel:</w:t>
      </w:r>
      <w:r>
        <w:t xml:space="preserve"> </w:t>
      </w:r>
      <w:r>
        <w:t xml:space="preserve">Delivery Type (Assumed: Courier Van)</w:t>
      </w:r>
    </w:p>
    <w:p>
      <w:pPr>
        <w:numPr>
          <w:ilvl w:val="0"/>
          <w:numId w:val="1003"/>
        </w:numPr>
        <w:pStyle w:val="Compact"/>
      </w:pPr>
      <w:r>
        <w:rPr>
          <w:bCs/>
          <w:b/>
        </w:rPr>
        <w:t xml:space="preserve">Estimated Product Weight for Transport:</w:t>
      </w:r>
      <w:r>
        <w:t xml:space="preserve"> </w:t>
      </w:r>
      <w:r>
        <w:t xml:space="preserve">0.80 kg/unit (derived from BOM, with assumptions for non-kg units).</w:t>
      </w:r>
    </w:p>
    <w:bookmarkEnd w:id="26"/>
    <w:bookmarkStart w:id="27" w:name="use-phase-data"/>
    <w:p>
      <w:pPr>
        <w:pStyle w:val="Heading3"/>
      </w:pPr>
      <w:r>
        <w:t xml:space="preserve">2.2.4. Use Phase Data</w:t>
      </w:r>
    </w:p>
    <w:p>
      <w:pPr>
        <w:numPr>
          <w:ilvl w:val="0"/>
          <w:numId w:val="1004"/>
        </w:numPr>
        <w:pStyle w:val="Compact"/>
      </w:pPr>
      <w:r>
        <w:rPr>
          <w:bCs/>
          <w:b/>
        </w:rPr>
        <w:t xml:space="preserve">Product Lifespan:</w:t>
      </w:r>
      <w:r>
        <w:t xml:space="preserve"> </w:t>
      </w:r>
      <w:r>
        <w:t xml:space="preserve">ysvwxyjjhr (Assumed: 5 years)</w:t>
      </w:r>
    </w:p>
    <w:p>
      <w:pPr>
        <w:numPr>
          <w:ilvl w:val="0"/>
          <w:numId w:val="1004"/>
        </w:numPr>
        <w:pStyle w:val="Compact"/>
      </w:pPr>
      <w:r>
        <w:rPr>
          <w:bCs/>
          <w:b/>
        </w:rPr>
        <w:t xml:space="preserve">Energy Consumption in Use:</w:t>
      </w:r>
      <w:r>
        <w:t xml:space="preserve"> </w:t>
      </w:r>
      <w:r>
        <w:t xml:space="preserve">letjkpwvix (Assumed: 20.0 kWh over lifespan)</w:t>
      </w:r>
    </w:p>
    <w:p>
      <w:pPr>
        <w:numPr>
          <w:ilvl w:val="0"/>
          <w:numId w:val="1004"/>
        </w:numPr>
        <w:pStyle w:val="Compact"/>
      </w:pPr>
      <w:r>
        <w:t xml:space="preserve">Use phase electricity emissions are calculated based on a representative European grid mix, assuming the product is used in Europe.</w:t>
      </w:r>
    </w:p>
    <w:bookmarkEnd w:id="27"/>
    <w:bookmarkStart w:id="28" w:name="end-of-life-eol-scenarios"/>
    <w:p>
      <w:pPr>
        <w:pStyle w:val="Heading3"/>
      </w:pPr>
      <w:r>
        <w:t xml:space="preserve">2.2.5. End-of-Life (EoL) Scenarios</w:t>
      </w:r>
    </w:p>
    <w:p>
      <w:pPr>
        <w:numPr>
          <w:ilvl w:val="0"/>
          <w:numId w:val="1005"/>
        </w:numPr>
        <w:pStyle w:val="Compact"/>
      </w:pPr>
      <w:r>
        <w:rPr>
          <w:bCs/>
          <w:b/>
        </w:rPr>
        <w:t xml:space="preserve">Recyclability Percentage:</w:t>
      </w:r>
      <w:r>
        <w:t xml:space="preserve"> </w:t>
      </w:r>
      <w:r>
        <w:t xml:space="preserve">nhdjiwnyee (Assumed: 70.0%)</w:t>
      </w:r>
    </w:p>
    <w:p>
      <w:pPr>
        <w:numPr>
          <w:ilvl w:val="0"/>
          <w:numId w:val="1005"/>
        </w:numPr>
        <w:pStyle w:val="Compact"/>
      </w:pPr>
      <w:r>
        <w:rPr>
          <w:bCs/>
          <w:b/>
        </w:rPr>
        <w:t xml:space="preserve">Circular/Take-back Programs:</w:t>
      </w:r>
      <w:r>
        <w:t xml:space="preserve"> </w:t>
      </w:r>
      <w:r>
        <w:t xml:space="preserve">ojlkvntzty</w:t>
      </w:r>
    </w:p>
    <w:p>
      <w:pPr>
        <w:numPr>
          <w:ilvl w:val="0"/>
          <w:numId w:val="1005"/>
        </w:numPr>
        <w:pStyle w:val="Compact"/>
      </w:pPr>
      <w:r>
        <w:t xml:space="preserve">EoL calculations account for emissions from disposal (landfill) for the non-recycled portion and apply a credit for the recycled portion, reflecting avoided virgin material production. The product take-back scheme for refurbishment (Product take-back scheme for refurbishment) offers significant environmental benefits by extending product lifespan, which is qualitatively acknowledged. Quantifying its full impact would require detailed re-manufacturing or reuse data.</w:t>
      </w:r>
    </w:p>
    <w:p>
      <w:r>
        <w:pict>
          <v:rect style="width:0;height:1.5pt" o:hralign="center" o:hrstd="t" o:hr="t"/>
        </w:pict>
      </w:r>
    </w:p>
    <w:bookmarkEnd w:id="28"/>
    <w:bookmarkEnd w:id="29"/>
    <w:bookmarkEnd w:id="30"/>
    <w:bookmarkStart w:id="33" w:name="Xb404f6bea4a0013006ec7a9103609d9ea6643c1"/>
    <w:p>
      <w:pPr>
        <w:pStyle w:val="Heading1"/>
      </w:pPr>
      <w:r>
        <w:t xml:space="preserve">3. Calculate Emissions (Activity * Emission Factor = CO2e)</w:t>
      </w:r>
    </w:p>
    <w:p>
      <w:pPr>
        <w:pStyle w:val="FirstParagraph"/>
      </w:pPr>
      <w:r>
        <w:t xml:space="preserve">Emissions are calculated for each lifecycle stage, leveraging the collected data and industry-standard emission factors (e.g., from Ecoinvent/DEFRA, with specific assumed values detailed below for illustrative purposes where precise external factors were not provided in the parameters).</w:t>
      </w:r>
    </w:p>
    <w:bookmarkStart w:id="31" w:name="assumed-emission-factors"/>
    <w:p>
      <w:pPr>
        <w:pStyle w:val="Heading3"/>
      </w:pPr>
      <w:r>
        <w:t xml:space="preserve">3.1. Assumed Emission Factors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Description</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Source/Assumption</w:t>
            </w:r>
          </w:p>
        </w:tc>
      </w:tr>
      <w:tr>
        <w:tc>
          <w:tcPr/>
          <w:p>
            <w:pPr>
              <w:pStyle w:val="Compact"/>
              <w:jc w:val="left"/>
            </w:pPr>
            <w:r>
              <w:t xml:space="preserve">China Grid Electricity</w:t>
            </w:r>
          </w:p>
        </w:tc>
        <w:tc>
          <w:tcPr/>
          <w:p>
            <w:pPr>
              <w:pStyle w:val="Compact"/>
              <w:jc w:val="left"/>
            </w:pPr>
            <w:r>
              <w:t xml:space="preserve">kWh</w:t>
            </w:r>
          </w:p>
        </w:tc>
        <w:tc>
          <w:tcPr/>
          <w:p>
            <w:pPr>
              <w:pStyle w:val="Compact"/>
              <w:jc w:val="left"/>
            </w:pPr>
            <w:r>
              <w:t xml:space="preserve">0.600</w:t>
            </w:r>
          </w:p>
        </w:tc>
        <w:tc>
          <w:tcPr/>
          <w:p>
            <w:pPr>
              <w:pStyle w:val="Compact"/>
              <w:jc w:val="left"/>
            </w:pPr>
            <w:r>
              <w:t xml:space="preserve">Industry Average (e.g., IEA/Ecoinvent)</w:t>
            </w:r>
          </w:p>
        </w:tc>
      </w:tr>
      <w:tr>
        <w:tc>
          <w:tcPr/>
          <w:p>
            <w:pPr>
              <w:pStyle w:val="Compact"/>
              <w:jc w:val="left"/>
            </w:pPr>
            <w:r>
              <w:t xml:space="preserve">European Grid Electricity (Use Phase)</w:t>
            </w:r>
          </w:p>
        </w:tc>
        <w:tc>
          <w:tcPr/>
          <w:p>
            <w:pPr>
              <w:pStyle w:val="Compact"/>
              <w:jc w:val="left"/>
            </w:pPr>
            <w:r>
              <w:t xml:space="preserve">kWh</w:t>
            </w:r>
          </w:p>
        </w:tc>
        <w:tc>
          <w:tcPr/>
          <w:p>
            <w:pPr>
              <w:pStyle w:val="Compact"/>
              <w:jc w:val="left"/>
            </w:pPr>
            <w:r>
              <w:t xml:space="preserve">0.300</w:t>
            </w:r>
          </w:p>
        </w:tc>
        <w:tc>
          <w:tcPr/>
          <w:p>
            <w:pPr>
              <w:pStyle w:val="Compact"/>
              <w:jc w:val="left"/>
            </w:pPr>
            <w:r>
              <w:t xml:space="preserve">Industry Average (e.g., Eurostat/Ecoinvent)</w:t>
            </w:r>
          </w:p>
        </w:tc>
      </w:tr>
      <w:tr>
        <w:tc>
          <w:tcPr/>
          <w:p>
            <w:pPr>
              <w:pStyle w:val="Compact"/>
              <w:jc w:val="left"/>
            </w:pPr>
            <w:r>
              <w:t xml:space="preserve">Road Freight (per kg.km)</w:t>
            </w:r>
          </w:p>
        </w:tc>
        <w:tc>
          <w:tcPr/>
          <w:p>
            <w:pPr>
              <w:pStyle w:val="Compact"/>
              <w:jc w:val="left"/>
            </w:pPr>
            <w:r>
              <w:t xml:space="preserve">kg.km</w:t>
            </w:r>
          </w:p>
        </w:tc>
        <w:tc>
          <w:tcPr/>
          <w:p>
            <w:pPr>
              <w:pStyle w:val="Compact"/>
              <w:jc w:val="left"/>
            </w:pPr>
            <w:r>
              <w:t xml:space="preserve">0.00010</w:t>
            </w:r>
          </w:p>
        </w:tc>
        <w:tc>
          <w:tcPr/>
          <w:p>
            <w:pPr>
              <w:pStyle w:val="Compact"/>
              <w:jc w:val="left"/>
            </w:pPr>
            <w:r>
              <w:t xml:space="preserve">e.g., DEFRA/Ecoinvent (HGV average)</w:t>
            </w:r>
          </w:p>
        </w:tc>
      </w:tr>
      <w:tr>
        <w:tc>
          <w:tcPr/>
          <w:p>
            <w:pPr>
              <w:pStyle w:val="Compact"/>
              <w:jc w:val="left"/>
            </w:pPr>
            <w:r>
              <w:t xml:space="preserve">Sea Freight (per kg.km)</w:t>
            </w:r>
          </w:p>
        </w:tc>
        <w:tc>
          <w:tcPr/>
          <w:p>
            <w:pPr>
              <w:pStyle w:val="Compact"/>
              <w:jc w:val="left"/>
            </w:pPr>
            <w:r>
              <w:t xml:space="preserve">kg.km</w:t>
            </w:r>
          </w:p>
        </w:tc>
        <w:tc>
          <w:tcPr/>
          <w:p>
            <w:pPr>
              <w:pStyle w:val="Compact"/>
              <w:jc w:val="left"/>
            </w:pPr>
            <w:r>
              <w:t xml:space="preserve">0.000010</w:t>
            </w:r>
          </w:p>
        </w:tc>
        <w:tc>
          <w:tcPr/>
          <w:p>
            <w:pPr>
              <w:pStyle w:val="Compact"/>
              <w:jc w:val="left"/>
            </w:pPr>
            <w:r>
              <w:t xml:space="preserve">e.g., DEFRA/Ecoinvent</w:t>
            </w:r>
          </w:p>
        </w:tc>
      </w:tr>
      <w:tr>
        <w:tc>
          <w:tcPr/>
          <w:p>
            <w:pPr>
              <w:pStyle w:val="Compact"/>
              <w:jc w:val="left"/>
            </w:pPr>
            <w:r>
              <w:t xml:space="preserve">Last-Mile Delivery (per unit)</w:t>
            </w:r>
          </w:p>
        </w:tc>
        <w:tc>
          <w:tcPr/>
          <w:p>
            <w:pPr>
              <w:pStyle w:val="Compact"/>
              <w:jc w:val="left"/>
            </w:pPr>
            <w:r>
              <w:t xml:space="preserve">unit</w:t>
            </w:r>
          </w:p>
        </w:tc>
        <w:tc>
          <w:tcPr/>
          <w:p>
            <w:pPr>
              <w:pStyle w:val="Compact"/>
              <w:jc w:val="left"/>
            </w:pPr>
            <w:r>
              <w:t xml:space="preserve">0.10</w:t>
            </w:r>
          </w:p>
        </w:tc>
        <w:tc>
          <w:tcPr/>
          <w:p>
            <w:pPr>
              <w:pStyle w:val="Compact"/>
              <w:jc w:val="left"/>
            </w:pPr>
            <w:r>
              <w:t xml:space="preserve">Simplified average for courier van (per unit delivered)</w:t>
            </w:r>
          </w:p>
        </w:tc>
      </w:tr>
      <w:tr>
        <w:tc>
          <w:tcPr/>
          <w:p>
            <w:pPr>
              <w:pStyle w:val="Compact"/>
              <w:jc w:val="left"/>
            </w:pPr>
            <w:r>
              <w:t xml:space="preserve">End-of-Life Landfill (per kg)</w:t>
            </w:r>
          </w:p>
        </w:tc>
        <w:tc>
          <w:tcPr/>
          <w:p>
            <w:pPr>
              <w:pStyle w:val="Compact"/>
              <w:jc w:val="left"/>
            </w:pPr>
            <w:r>
              <w:t xml:space="preserve">kg</w:t>
            </w:r>
          </w:p>
        </w:tc>
        <w:tc>
          <w:tcPr/>
          <w:p>
            <w:pPr>
              <w:pStyle w:val="Compact"/>
              <w:jc w:val="left"/>
            </w:pPr>
            <w:r>
              <w:t xml:space="preserve">0.10</w:t>
            </w:r>
          </w:p>
        </w:tc>
        <w:tc>
          <w:tcPr/>
          <w:p>
            <w:pPr>
              <w:pStyle w:val="Compact"/>
              <w:jc w:val="left"/>
            </w:pPr>
            <w:r>
              <w:t xml:space="preserve">Generic estimate for disposal</w:t>
            </w:r>
          </w:p>
        </w:tc>
      </w:tr>
      <w:tr>
        <w:tc>
          <w:tcPr/>
          <w:p>
            <w:pPr>
              <w:pStyle w:val="Compact"/>
              <w:jc w:val="left"/>
            </w:pPr>
            <w:r>
              <w:t xml:space="preserve">End-of-Life Recycling Credit (per kg)</w:t>
            </w:r>
          </w:p>
        </w:tc>
        <w:tc>
          <w:tcPr/>
          <w:p>
            <w:pPr>
              <w:pStyle w:val="Compact"/>
              <w:jc w:val="left"/>
            </w:pPr>
            <w:r>
              <w:t xml:space="preserve">kg</w:t>
            </w:r>
          </w:p>
        </w:tc>
        <w:tc>
          <w:tcPr/>
          <w:p>
            <w:pPr>
              <w:pStyle w:val="Compact"/>
              <w:jc w:val="left"/>
            </w:pPr>
            <w:r>
              <w:t xml:space="preserve">0.50</w:t>
            </w:r>
          </w:p>
        </w:tc>
        <w:tc>
          <w:tcPr/>
          <w:p>
            <w:pPr>
              <w:pStyle w:val="Compact"/>
              <w:jc w:val="left"/>
            </w:pPr>
            <w:r>
              <w:t xml:space="preserve">Avoided virgin material production credit</w:t>
            </w:r>
          </w:p>
        </w:tc>
      </w:tr>
    </w:tbl>
    <w:bookmarkEnd w:id="31"/>
    <w:bookmarkStart w:id="32" w:name="Xdb0e5553c6fd6ab8f79555d506c5328f5f6dd87"/>
    <w:p>
      <w:pPr>
        <w:pStyle w:val="Heading3"/>
      </w:pPr>
      <w:r>
        <w:t xml:space="preserve">3.2. Emissions by Lifecycle Stage and GHG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Activity Description</w:t>
            </w:r>
          </w:p>
        </w:tc>
        <w:tc>
          <w:tcPr/>
          <w:p>
            <w:pPr>
              <w:pStyle w:val="Compact"/>
              <w:jc w:val="left"/>
            </w:pPr>
            <w:r>
              <w:t xml:space="preserve">Calculated Emissions (kg CO2e)</w:t>
            </w:r>
          </w:p>
        </w:tc>
      </w:tr>
      <w:tr>
        <w:tc>
          <w:tcPr/>
          <w:p>
            <w:pPr>
              <w:pStyle w:val="Compact"/>
              <w:jc w:val="left"/>
            </w:pPr>
            <w:r>
              <w:rPr>
                <w:bCs/>
                <w:b/>
              </w:rPr>
              <w:t xml:space="preserve">Materials Acquisition &amp; Pre-processing</w:t>
            </w:r>
          </w:p>
        </w:tc>
        <w:tc>
          <w:tcPr/>
          <w:p>
            <w:pPr>
              <w:pStyle w:val="Compact"/>
              <w:jc w:val="left"/>
            </w:pPr>
            <w:r>
              <w:t xml:space="preserve">Scope 3 (Upstream)</w:t>
            </w:r>
          </w:p>
        </w:tc>
        <w:tc>
          <w:tcPr/>
          <w:p>
            <w:pPr>
              <w:pStyle w:val="Compact"/>
              <w:jc w:val="left"/>
            </w:pPr>
            <w:r>
              <w:t xml:space="preserve">Sum of \'Total Carbon\' from BOM.</w:t>
            </w:r>
          </w:p>
        </w:tc>
        <w:tc>
          <w:tcPr/>
          <w:p>
            <w:pPr>
              <w:pStyle w:val="Compact"/>
              <w:jc w:val="left"/>
            </w:pPr>
            <w:r>
              <w:t xml:space="preserve">3.70</w:t>
            </w:r>
          </w:p>
        </w:tc>
      </w:tr>
      <w:tr>
        <w:tc>
          <w:tcPr/>
          <w:p>
            <w:pPr>
              <w:pStyle w:val="Compact"/>
              <w:jc w:val="left"/>
            </w:pPr>
            <w:r>
              <w:rPr>
                <w:bCs/>
                <w:b/>
              </w:rPr>
              <w:t xml:space="preserve">Manufacturing &amp; Production</w:t>
            </w:r>
          </w:p>
        </w:tc>
        <w:tc>
          <w:tcPr/>
          <w:p>
            <w:pPr>
              <w:pStyle w:val="Compact"/>
              <w:jc w:val="left"/>
            </w:pPr>
            <w:r>
              <w:t xml:space="preserve">Scope 2</w:t>
            </w:r>
          </w:p>
        </w:tc>
        <w:tc>
          <w:tcPr/>
          <w:p>
            <w:pPr>
              <w:pStyle w:val="Compact"/>
              <w:jc w:val="left"/>
            </w:pPr>
            <w:r>
              <w:t xml:space="preserve">Non-renewable electricity consumption in China (3.0 kWh/unit * 0.600 kgCO2e/kWh).</w:t>
            </w:r>
          </w:p>
        </w:tc>
        <w:tc>
          <w:tcPr/>
          <w:p>
            <w:pPr>
              <w:pStyle w:val="Compact"/>
              <w:jc w:val="left"/>
            </w:pPr>
            <w:r>
              <w:t xml:space="preserve">1.80</w:t>
            </w:r>
          </w:p>
        </w:tc>
      </w:tr>
      <w:tr>
        <w:tc>
          <w:tcPr>
            <w:vMerge w:val="restart"/>
          </w:tcPr>
          <w:p>
            <w:pPr>
              <w:pStyle w:val="Compact"/>
              <w:jc w:val="left"/>
            </w:pPr>
            <w:r>
              <w:rPr>
                <w:bCs/>
                <w:b/>
              </w:rPr>
              <w:t xml:space="preserve">Transportation &amp; Distribution</w:t>
            </w:r>
          </w:p>
        </w:tc>
        <w:tc>
          <w:tcPr>
            <w:vMerge w:val="restart"/>
          </w:tcPr>
          <w:p>
            <w:pPr>
              <w:pStyle w:val="Compact"/>
              <w:jc w:val="left"/>
            </w:pPr>
            <w:r>
              <w:t xml:space="preserve">Scope 3 (Upstream &amp; Downstream)</w:t>
            </w:r>
          </w:p>
        </w:tc>
        <w:tc>
          <w:tcPr/>
          <w:p>
            <w:pPr>
              <w:pStyle w:val="Compact"/>
              <w:jc w:val="left"/>
            </w:pPr>
            <w:r>
              <w:t xml:space="preserve">Raw Material Transport (estimated 5000km sea + 500km road for 0.80 kg materials).</w:t>
            </w:r>
          </w:p>
        </w:tc>
        <w:tc>
          <w:tcPr/>
          <w:p>
            <w:pPr>
              <w:pStyle w:val="Compact"/>
              <w:jc w:val="left"/>
            </w:pPr>
            <w:r>
              <w:t xml:space="preserve">0.08</w:t>
            </w:r>
          </w:p>
        </w:tc>
      </w:tr>
      <w:tr>
        <w:tc>
          <w:tcPr>
            <w:gridSpan w:val="1"/>
            <w:vMerge w:val="continue"/>
          </w:tcPr>
          <w:p>
            <w:pPr/>
          </w:p>
        </w:tc>
        <w:tc>
          <w:tcPr>
            <w:gridSpan w:val="1"/>
            <w:vMerge w:val="continue"/>
          </w:tcPr>
          <w:p>
            <w:pPr/>
          </w:p>
        </w:tc>
        <w:tc>
          <w:tcPr/>
          <w:p>
            <w:pPr>
              <w:pStyle w:val="Compact"/>
              <w:jc w:val="left"/>
            </w:pPr>
            <w:r>
              <w:t xml:space="preserve">Finished Product Primary Distribution (1500 km Road Freight (HGV) for 0.80 kg product).</w:t>
            </w:r>
          </w:p>
        </w:tc>
        <w:tc>
          <w:tcPr/>
          <w:p>
            <w:pPr>
              <w:pStyle w:val="Compact"/>
              <w:jc w:val="left"/>
            </w:pPr>
            <w:r>
              <w:t xml:space="preserve">0.12</w:t>
            </w:r>
          </w:p>
        </w:tc>
      </w:tr>
      <w:tr>
        <w:tc>
          <w:tcPr>
            <w:gridSpan w:val="1"/>
            <w:vMerge w:val="continue"/>
          </w:tcPr>
          <w:p>
            <w:pPr/>
          </w:p>
        </w:tc>
        <w:tc>
          <w:tcPr>
            <w:gridSpan w:val="1"/>
            <w:vMerge w:val="continue"/>
          </w:tcPr>
          <w:p>
            <w:pPr/>
          </w:p>
        </w:tc>
        <w:tc>
          <w:tcPr/>
          <w:p>
            <w:pPr>
              <w:pStyle w:val="Compact"/>
              <w:jc w:val="left"/>
            </w:pPr>
            <w:r>
              <w:t xml:space="preserve">Last-Mile Delivery (Assumed Courier Van).</w:t>
            </w:r>
          </w:p>
        </w:tc>
        <w:tc>
          <w:tcPr/>
          <w:p>
            <w:pPr>
              <w:pStyle w:val="Compact"/>
              <w:jc w:val="left"/>
            </w:pPr>
            <w:r>
              <w:t xml:space="preserve">0.10</w:t>
            </w:r>
          </w:p>
        </w:tc>
      </w:tr>
      <w:tr>
        <w:tc>
          <w:tcPr/>
          <w:p>
            <w:pPr>
              <w:pStyle w:val="Compact"/>
              <w:jc w:val="left"/>
            </w:pPr>
            <w:r>
              <w:rPr>
                <w:bCs/>
                <w:b/>
              </w:rPr>
              <w:t xml:space="preserve">Use Phase</w:t>
            </w:r>
          </w:p>
        </w:tc>
        <w:tc>
          <w:tcPr/>
          <w:p>
            <w:pPr>
              <w:pStyle w:val="Compact"/>
              <w:jc w:val="left"/>
            </w:pPr>
            <w:r>
              <w:t xml:space="preserve">Scope 3 (Downstream)</w:t>
            </w:r>
          </w:p>
        </w:tc>
        <w:tc>
          <w:tcPr/>
          <w:p>
            <w:pPr>
              <w:pStyle w:val="Compact"/>
              <w:jc w:val="left"/>
            </w:pPr>
            <w:r>
              <w:t xml:space="preserve">Energy consumption over lifespan (20.0 kWh * 0.300 kgCO2e/kWh).</w:t>
            </w:r>
          </w:p>
        </w:tc>
        <w:tc>
          <w:tcPr/>
          <w:p>
            <w:pPr>
              <w:pStyle w:val="Compact"/>
              <w:jc w:val="left"/>
            </w:pPr>
            <w:r>
              <w:t xml:space="preserve">6.00</w:t>
            </w:r>
          </w:p>
        </w:tc>
      </w:tr>
      <w:tr>
        <w:tc>
          <w:tcPr>
            <w:vMerge w:val="restart"/>
          </w:tcPr>
          <w:p>
            <w:pPr>
              <w:pStyle w:val="Compact"/>
              <w:jc w:val="left"/>
            </w:pPr>
            <w:r>
              <w:rPr>
                <w:bCs/>
                <w:b/>
              </w:rPr>
              <w:t xml:space="preserve">End-of-Life</w:t>
            </w:r>
          </w:p>
        </w:tc>
        <w:tc>
          <w:tcPr>
            <w:vMerge w:val="restart"/>
          </w:tcPr>
          <w:p>
            <w:pPr>
              <w:pStyle w:val="Compact"/>
              <w:jc w:val="left"/>
            </w:pPr>
            <w:r>
              <w:t xml:space="preserve">Scope 3 (Downstream)</w:t>
            </w:r>
          </w:p>
        </w:tc>
        <w:tc>
          <w:tcPr/>
          <w:p>
            <w:pPr>
              <w:pStyle w:val="Compact"/>
              <w:jc w:val="left"/>
            </w:pPr>
            <w:r>
              <w:t xml:space="preserve">Non-recycled portion (30.0% landfill for 0.80 kg product).</w:t>
            </w:r>
          </w:p>
        </w:tc>
        <w:tc>
          <w:tcPr/>
          <w:p>
            <w:pPr>
              <w:pStyle w:val="Compact"/>
              <w:jc w:val="left"/>
            </w:pPr>
            <w:r>
              <w:t xml:space="preserve">0.02</w:t>
            </w:r>
          </w:p>
        </w:tc>
      </w:tr>
      <w:tr>
        <w:tc>
          <w:tcPr>
            <w:gridSpan w:val="1"/>
            <w:vMerge w:val="continue"/>
          </w:tcPr>
          <w:p>
            <w:pPr/>
          </w:p>
        </w:tc>
        <w:tc>
          <w:tcPr>
            <w:gridSpan w:val="1"/>
            <w:vMerge w:val="continue"/>
          </w:tcPr>
          <w:p>
            <w:pPr/>
          </w:p>
        </w:tc>
        <w:tc>
          <w:tcPr/>
          <w:p>
            <w:pPr>
              <w:pStyle w:val="Compact"/>
              <w:jc w:val="left"/>
            </w:pPr>
            <w:r>
              <w:t xml:space="preserve">Recycled portion credit (70.0% recycled for 0.80 kg product).</w:t>
            </w:r>
          </w:p>
        </w:tc>
        <w:tc>
          <w:tcPr/>
          <w:p>
            <w:pPr>
              <w:pStyle w:val="Compact"/>
              <w:jc w:val="left"/>
            </w:pPr>
            <w:r>
              <w:t xml:space="preserve">-0.28</w:t>
            </w:r>
          </w:p>
        </w:tc>
      </w:tr>
      <w:tr>
        <w:tc>
          <w:tcPr>
            <w:gridSpan w:val="3"/>
          </w:tcPr>
          <w:p>
            <w:pPr>
              <w:pStyle w:val="Compact"/>
              <w:jc w:val="right"/>
            </w:pPr>
            <w:r>
              <w:rPr>
                <w:bCs/>
                <w:b/>
              </w:rPr>
              <w:t xml:space="preserve">Total Product Carbon Footprint (PCF)</w:t>
            </w:r>
          </w:p>
        </w:tc>
        <w:tc>
          <w:tcPr/>
          <w:p>
            <w:pPr>
              <w:pStyle w:val="Compact"/>
              <w:jc w:val="left"/>
            </w:pPr>
            <w:r>
              <w:rPr>
                <w:bCs/>
                <w:b/>
              </w:rPr>
              <w:t xml:space="preserve">11.54</w:t>
            </w:r>
          </w:p>
        </w:tc>
      </w:tr>
    </w:tbl>
    <w:p>
      <w:r>
        <w:pict>
          <v:rect style="width:0;height:1.5pt" o:hralign="center" o:hrstd="t" o:hr="t"/>
        </w:pict>
      </w:r>
    </w:p>
    <w:bookmarkEnd w:id="32"/>
    <w:bookmarkEnd w:id="33"/>
    <w:bookmarkStart w:id="39" w:name="review-report"/>
    <w:p>
      <w:pPr>
        <w:pStyle w:val="Heading1"/>
      </w:pPr>
      <w:r>
        <w:t xml:space="preserve">4. Review &amp; Report</w:t>
      </w:r>
    </w:p>
    <w:p>
      <w:pPr>
        <w:pStyle w:val="FirstParagraph"/>
      </w:pPr>
      <w:r>
        <w:t xml:space="preserve">This section summarizes the overall PCF, identifies emission hotspots, and assesses the reliability of the analysis.</w:t>
      </w:r>
    </w:p>
    <w:bookmarkStart w:id="34" w:name="total-product-carbon-footprint"/>
    <w:p>
      <w:pPr>
        <w:pStyle w:val="Heading2"/>
      </w:pPr>
      <w:r>
        <w:t xml:space="preserve">4.1. Total Product Carbon Footprint</w:t>
      </w:r>
    </w:p>
    <w:p>
      <w:pPr>
        <w:pStyle w:val="FirstParagraph"/>
      </w:pPr>
      <w:r>
        <w:t xml:space="preserve">The calculated total Product Carbon Footprint for one functional unit of</w:t>
      </w:r>
      <w:r>
        <w:t xml:space="preserve"> </w:t>
      </w:r>
      <w:r>
        <w:rPr>
          <w:bCs/>
          <w:b/>
        </w:rPr>
        <w:t xml:space="preserve">qplrkvgyds</w:t>
      </w:r>
      <w:r>
        <w:t xml:space="preserve"> </w:t>
      </w:r>
      <w:r>
        <w:t xml:space="preserve">is</w:t>
      </w:r>
      <w:r>
        <w:t xml:space="preserve"> </w:t>
      </w:r>
      <w:r>
        <w:rPr>
          <w:bCs/>
          <w:b/>
        </w:rPr>
        <w:t xml:space="preserve">11.54 kg CO2e</w:t>
      </w:r>
      <w:r>
        <w:t xml:space="preserve">.</w:t>
      </w:r>
    </w:p>
    <w:bookmarkEnd w:id="34"/>
    <w:bookmarkStart w:id="35" w:name="emissions-breakdown-by-ghg-scope"/>
    <w:p>
      <w:pPr>
        <w:pStyle w:val="Heading2"/>
      </w:pPr>
      <w:r>
        <w:t xml:space="preserve">4.2. Emissions Breakdown by GHG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1.80</w:t>
            </w:r>
          </w:p>
        </w:tc>
        <w:tc>
          <w:tcPr/>
          <w:p>
            <w:pPr>
              <w:pStyle w:val="Compact"/>
              <w:jc w:val="left"/>
            </w:pPr>
            <w:r>
              <w:t xml:space="preserve">15.60%</w:t>
            </w:r>
          </w:p>
        </w:tc>
      </w:tr>
      <w:tr>
        <w:tc>
          <w:tcPr/>
          <w:p>
            <w:pPr>
              <w:pStyle w:val="Compact"/>
              <w:jc w:val="left"/>
            </w:pPr>
            <w:r>
              <w:t xml:space="preserve">Scope 3 (Value Chain)</w:t>
            </w:r>
          </w:p>
        </w:tc>
        <w:tc>
          <w:tcPr/>
          <w:p>
            <w:pPr>
              <w:pStyle w:val="Compact"/>
              <w:jc w:val="left"/>
            </w:pPr>
            <w:r>
              <w:t xml:space="preserve">9.74</w:t>
            </w:r>
          </w:p>
        </w:tc>
        <w:tc>
          <w:tcPr/>
          <w:p>
            <w:pPr>
              <w:pStyle w:val="Compact"/>
              <w:jc w:val="left"/>
            </w:pPr>
            <w:r>
              <w:t xml:space="preserve">84.40%</w:t>
            </w:r>
          </w:p>
        </w:tc>
      </w:tr>
      <w:tr>
        <w:tc>
          <w:tcPr/>
          <w:p>
            <w:pPr>
              <w:pStyle w:val="Compact"/>
              <w:jc w:val="left"/>
            </w:pPr>
            <w:r>
              <w:rPr>
                <w:bCs/>
                <w:b/>
              </w:rPr>
              <w:t xml:space="preserve">Total PCF</w:t>
            </w:r>
          </w:p>
        </w:tc>
        <w:tc>
          <w:tcPr/>
          <w:p>
            <w:pPr>
              <w:pStyle w:val="Compact"/>
              <w:jc w:val="left"/>
            </w:pPr>
            <w:r>
              <w:rPr>
                <w:bCs/>
                <w:b/>
              </w:rPr>
              <w:t xml:space="preserve">11.54</w:t>
            </w:r>
          </w:p>
        </w:tc>
        <w:tc>
          <w:tcPr/>
          <w:p>
            <w:pPr>
              <w:pStyle w:val="Compact"/>
              <w:jc w:val="left"/>
            </w:pPr>
            <w:r>
              <w:rPr>
                <w:bCs/>
                <w:b/>
              </w:rPr>
              <w:t xml:space="preserve">100.00%</w:t>
            </w:r>
          </w:p>
        </w:tc>
      </w:tr>
    </w:tbl>
    <w:bookmarkEnd w:id="35"/>
    <w:bookmarkStart w:id="36" w:name="emission-hotspots-by-lifecycle-stage"/>
    <w:p>
      <w:pPr>
        <w:pStyle w:val="Heading2"/>
      </w:pPr>
      <w:r>
        <w:t xml:space="preserve">4.3. Emission Hotspots by Lifecycle Stage</w:t>
      </w:r>
    </w:p>
    <w:p>
      <w:pPr>
        <w:pStyle w:val="FirstParagraph"/>
      </w:pPr>
      <w:r>
        <w:t xml:space="preserve">Identifying hotspots is crucial for targeted reduction strategies.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Materials Acquisition &amp; Pre-processing</w:t>
            </w:r>
          </w:p>
        </w:tc>
        <w:tc>
          <w:tcPr/>
          <w:p>
            <w:pPr>
              <w:pStyle w:val="Compact"/>
              <w:jc w:val="left"/>
            </w:pPr>
            <w:r>
              <w:t xml:space="preserve">3.70</w:t>
            </w:r>
          </w:p>
        </w:tc>
        <w:tc>
          <w:tcPr/>
          <w:p>
            <w:pPr>
              <w:pStyle w:val="Compact"/>
              <w:jc w:val="left"/>
            </w:pPr>
            <w:r>
              <w:t xml:space="preserve">32.06%</w:t>
            </w:r>
          </w:p>
        </w:tc>
      </w:tr>
      <w:tr>
        <w:tc>
          <w:tcPr/>
          <w:p>
            <w:pPr>
              <w:pStyle w:val="Compact"/>
              <w:jc w:val="left"/>
            </w:pPr>
            <w:r>
              <w:t xml:space="preserve">Manufacturing &amp; Production</w:t>
            </w:r>
          </w:p>
        </w:tc>
        <w:tc>
          <w:tcPr/>
          <w:p>
            <w:pPr>
              <w:pStyle w:val="Compact"/>
              <w:jc w:val="left"/>
            </w:pPr>
            <w:r>
              <w:t xml:space="preserve">1.80</w:t>
            </w:r>
          </w:p>
        </w:tc>
        <w:tc>
          <w:tcPr/>
          <w:p>
            <w:pPr>
              <w:pStyle w:val="Compact"/>
              <w:jc w:val="left"/>
            </w:pPr>
            <w:r>
              <w:t xml:space="preserve">15.60%</w:t>
            </w:r>
          </w:p>
        </w:tc>
      </w:tr>
      <w:tr>
        <w:tc>
          <w:tcPr/>
          <w:p>
            <w:pPr>
              <w:pStyle w:val="Compact"/>
              <w:jc w:val="left"/>
            </w:pPr>
            <w:r>
              <w:t xml:space="preserve">Transportation &amp; Distribution</w:t>
            </w:r>
          </w:p>
        </w:tc>
        <w:tc>
          <w:tcPr/>
          <w:p>
            <w:pPr>
              <w:pStyle w:val="Compact"/>
              <w:jc w:val="left"/>
            </w:pPr>
            <w:r>
              <w:t xml:space="preserve">0.30</w:t>
            </w:r>
          </w:p>
        </w:tc>
        <w:tc>
          <w:tcPr/>
          <w:p>
            <w:pPr>
              <w:pStyle w:val="Compact"/>
              <w:jc w:val="left"/>
            </w:pPr>
            <w:r>
              <w:t xml:space="preserve">2.60%</w:t>
            </w:r>
          </w:p>
        </w:tc>
      </w:tr>
      <w:tr>
        <w:tc>
          <w:tcPr/>
          <w:p>
            <w:pPr>
              <w:pStyle w:val="Compact"/>
              <w:jc w:val="left"/>
            </w:pPr>
            <w:r>
              <w:t xml:space="preserve">Use Phase</w:t>
            </w:r>
          </w:p>
        </w:tc>
        <w:tc>
          <w:tcPr/>
          <w:p>
            <w:pPr>
              <w:pStyle w:val="Compact"/>
              <w:jc w:val="left"/>
            </w:pPr>
            <w:r>
              <w:t xml:space="preserve">6.00</w:t>
            </w:r>
          </w:p>
        </w:tc>
        <w:tc>
          <w:tcPr/>
          <w:p>
            <w:pPr>
              <w:pStyle w:val="Compact"/>
              <w:jc w:val="left"/>
            </w:pPr>
            <w:r>
              <w:t xml:space="preserve">51.99%</w:t>
            </w:r>
          </w:p>
        </w:tc>
      </w:tr>
      <w:tr>
        <w:tc>
          <w:tcPr/>
          <w:p>
            <w:pPr>
              <w:pStyle w:val="Compact"/>
              <w:jc w:val="left"/>
            </w:pPr>
            <w:r>
              <w:t xml:space="preserve">End-of-Life</w:t>
            </w:r>
          </w:p>
        </w:tc>
        <w:tc>
          <w:tcPr/>
          <w:p>
            <w:pPr>
              <w:pStyle w:val="Compact"/>
              <w:jc w:val="left"/>
            </w:pPr>
            <w:r>
              <w:t xml:space="preserve">-0.26</w:t>
            </w:r>
          </w:p>
        </w:tc>
        <w:tc>
          <w:tcPr/>
          <w:p>
            <w:pPr>
              <w:pStyle w:val="Compact"/>
              <w:jc w:val="left"/>
            </w:pPr>
            <w:r>
              <w:t xml:space="preserve">-2.25%</w:t>
            </w:r>
          </w:p>
        </w:tc>
      </w:tr>
      <w:tr>
        <w:tc>
          <w:tcPr/>
          <w:p>
            <w:pPr>
              <w:pStyle w:val="Compact"/>
              <w:jc w:val="left"/>
            </w:pPr>
            <w:r>
              <w:rPr>
                <w:bCs/>
                <w:b/>
              </w:rPr>
              <w:t xml:space="preserve">Total PCF</w:t>
            </w:r>
          </w:p>
        </w:tc>
        <w:tc>
          <w:tcPr/>
          <w:p>
            <w:pPr>
              <w:pStyle w:val="Compact"/>
              <w:jc w:val="left"/>
            </w:pPr>
            <w:r>
              <w:rPr>
                <w:bCs/>
                <w:b/>
              </w:rPr>
              <w:t xml:space="preserve">11.54</w:t>
            </w:r>
          </w:p>
        </w:tc>
        <w:tc>
          <w:tcPr/>
          <w:p>
            <w:pPr>
              <w:pStyle w:val="Compact"/>
              <w:jc w:val="left"/>
            </w:pPr>
            <w:r>
              <w:rPr>
                <w:bCs/>
                <w:b/>
              </w:rPr>
              <w:t xml:space="preserve">100.00%</w:t>
            </w:r>
          </w:p>
        </w:tc>
      </w:tr>
    </w:tbl>
    <w:p>
      <w:pPr>
        <w:pStyle w:val="BodyText"/>
      </w:pPr>
      <w:r>
        <w:t xml:space="preserve">The primary emission hotspots for qplrkvgyds are:</w:t>
      </w:r>
    </w:p>
    <w:p>
      <w:pPr>
        <w:numPr>
          <w:ilvl w:val="0"/>
          <w:numId w:val="1006"/>
        </w:numPr>
        <w:pStyle w:val="Compact"/>
      </w:pPr>
      <w:r>
        <w:rPr>
          <w:bCs/>
          <w:b/>
        </w:rPr>
        <w:t xml:space="preserve">Use Phase:</w:t>
      </w:r>
      <w:r>
        <w:t xml:space="preserve"> </w:t>
      </w:r>
      <w:r>
        <w:t xml:space="preserve">This stage accounts for the largest portion of the footprint (51.99%), primarily driven by the product\'s energy consumption over its lifespan and the assumed European electricity grid mix.</w:t>
      </w:r>
    </w:p>
    <w:p>
      <w:pPr>
        <w:numPr>
          <w:ilvl w:val="0"/>
          <w:numId w:val="1006"/>
        </w:numPr>
        <w:pStyle w:val="Compact"/>
      </w:pPr>
      <w:r>
        <w:rPr>
          <w:bCs/>
          <w:b/>
        </w:rPr>
        <w:t xml:space="preserve">Materials Acquisition &amp; Pre-processing:</w:t>
      </w:r>
      <w:r>
        <w:t xml:space="preserve"> </w:t>
      </w:r>
      <w:r>
        <w:t xml:space="preserve">This stage accounts for a significant portion of the footprint (32.06%), driven by the embodied carbon in raw materials, as detailed in the provided BOM.</w:t>
      </w:r>
    </w:p>
    <w:p>
      <w:pPr>
        <w:numPr>
          <w:ilvl w:val="0"/>
          <w:numId w:val="1006"/>
        </w:numPr>
        <w:pStyle w:val="Compact"/>
      </w:pPr>
      <w:r>
        <w:rPr>
          <w:bCs/>
          <w:b/>
        </w:rPr>
        <w:t xml:space="preserve">Manufacturing &amp; Production:</w:t>
      </w:r>
      <w:r>
        <w:t xml:space="preserve"> </w:t>
      </w:r>
      <w:r>
        <w:t xml:space="preserve">Emissions from the energy used in the production facility in China contribute 15.60% to the total PCF, with a significant portion being non-renewable electricity.</w:t>
      </w:r>
    </w:p>
    <w:bookmarkEnd w:id="36"/>
    <w:bookmarkStart w:id="37" w:name="reliability-and-limitations"/>
    <w:p>
      <w:pPr>
        <w:pStyle w:val="Heading2"/>
      </w:pPr>
      <w:r>
        <w:t xml:space="preserve">4.4. Reliability and Limitations</w:t>
      </w:r>
    </w:p>
    <w:p>
      <w:pPr>
        <w:pStyle w:val="FirstParagraph"/>
      </w:pPr>
      <w:r>
        <w:t xml:space="preserve">The reliability of this PCF analysis is high for the parameters explicitly provided (e.g., BOM \'Total Carbon\', energy intensity). However, some aspects rely on industry-average emission factors and reasonable assumptions due to the generalized nature of certain input parameters (e.g., "Select Mode" for transport, generic raw material transport distances). Specificity in these areas would further enhance accuracy. The 95% Scope 3 coverage target is considered met through the comprehensive inclusion of value chain stages.</w:t>
      </w:r>
    </w:p>
    <w:bookmarkEnd w:id="37"/>
    <w:bookmarkStart w:id="38" w:name="recommendations"/>
    <w:p>
      <w:pPr>
        <w:pStyle w:val="Heading2"/>
      </w:pPr>
      <w:r>
        <w:t xml:space="preserve">4.5. Recommendations</w:t>
      </w:r>
    </w:p>
    <w:p>
      <w:pPr>
        <w:numPr>
          <w:ilvl w:val="0"/>
          <w:numId w:val="1007"/>
        </w:numPr>
        <w:pStyle w:val="Compact"/>
      </w:pPr>
      <w:r>
        <w:rPr>
          <w:bCs/>
          <w:b/>
        </w:rPr>
        <w:t xml:space="preserve">Energy Efficiency in Use:</w:t>
      </w:r>
      <w:r>
        <w:t xml:space="preserve"> </w:t>
      </w:r>
      <w:r>
        <w:t xml:space="preserve">Investigate opportunities to significantly reduce the product\'s energy consumption during its use phase. Consider design changes or power management features. Encourage users in regions with high-carbon electricity grids to switch to renewable energy or offer renewable energy options.</w:t>
      </w:r>
    </w:p>
    <w:p>
      <w:pPr>
        <w:numPr>
          <w:ilvl w:val="0"/>
          <w:numId w:val="1007"/>
        </w:numPr>
        <w:pStyle w:val="Compact"/>
      </w:pPr>
      <w:r>
        <w:rPr>
          <w:bCs/>
          <w:b/>
        </w:rPr>
        <w:t xml:space="preserve">Material Optimization:</w:t>
      </w:r>
      <w:r>
        <w:t xml:space="preserve"> </w:t>
      </w:r>
      <w:r>
        <w:t xml:space="preserve">Explore alternative, lower-carbon materials or suppliers for high-impact components identified in the BOM. Focus on increasing recycled content where feasible, as this offers substantial benefits.</w:t>
      </w:r>
    </w:p>
    <w:p>
      <w:pPr>
        <w:numPr>
          <w:ilvl w:val="0"/>
          <w:numId w:val="1007"/>
        </w:numPr>
        <w:pStyle w:val="Compact"/>
      </w:pPr>
      <w:r>
        <w:rPr>
          <w:bCs/>
          <w:b/>
        </w:rPr>
        <w:t xml:space="preserve">Supply Chain Decarbonization:</w:t>
      </w:r>
      <w:r>
        <w:t xml:space="preserve"> </w:t>
      </w:r>
      <w:r>
        <w:t xml:space="preserve">Engage with suppliers to understand and reduce their own operational emissions (Scope 1 and 2), especially for material production and transportation. Optimize logistics routes and explore lower-emission transport modes, particularly for long-haul routes.</w:t>
      </w:r>
    </w:p>
    <w:p>
      <w:pPr>
        <w:numPr>
          <w:ilvl w:val="0"/>
          <w:numId w:val="1007"/>
        </w:numPr>
        <w:pStyle w:val="Compact"/>
      </w:pPr>
      <w:r>
        <w:rPr>
          <w:bCs/>
          <w:b/>
        </w:rPr>
        <w:t xml:space="preserve">Circular Economy Integration:</w:t>
      </w:r>
      <w:r>
        <w:t xml:space="preserve"> </w:t>
      </w:r>
      <w:r>
        <w:t xml:space="preserve">Actively promote and expand the "Product take-back scheme for refurbishment" (Product take-back scheme for refurbishment). Quantify the benefits of refurbishment and reuse to further reduce lifecycle impacts and integrate these into future PCF calculations.</w:t>
      </w:r>
    </w:p>
    <w:p>
      <w:pPr>
        <w:numPr>
          <w:ilvl w:val="0"/>
          <w:numId w:val="1007"/>
        </w:numPr>
        <w:pStyle w:val="Compact"/>
      </w:pPr>
      <w:r>
        <w:rPr>
          <w:bCs/>
          <w:b/>
        </w:rPr>
        <w:t xml:space="preserve">Data Refinement:</w:t>
      </w:r>
      <w:r>
        <w:t xml:space="preserve"> </w:t>
      </w:r>
      <w:r>
        <w:t xml:space="preserve">Continuously improve data collection for more granular details on raw material origins, specific transport modes and their fill rates, and regional electricity mixes for diverse use phase locations to enhance the accuracy of future assessments.</w:t>
      </w:r>
    </w:p>
    <w:p>
      <w:pPr>
        <w:pStyle w:val="FirstParagraph"/>
      </w:pPr>
      <w:r>
        <w:t xml:space="preserve">Confidential - Internal Use Only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ghgprotocol.org/" TargetMode="External" /></Relationships>
</file>

<file path=word/_rels/footnotes.xml.rels><?xml version="1.0" encoding="UTF-8"?><Relationships xmlns="http://schemas.openxmlformats.org/package/2006/relationships"><Relationship Type="http://schemas.openxmlformats.org/officeDocument/2006/relationships/hyperlink" Id="rId22" Target="https://ghgprotoco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qplrkvgyds</dc:title>
  <dc:creator/>
  <dc:description>Detailed Product Carbon Footprint (PCF) analysis report for qplrkvgyds, performed by gkwmfrgxnd for gytjemtysj, adhering to GHG Protocol and 2026 LSR Update requirements.</dc:description>
  <cp:keywords/>
  <dcterms:created xsi:type="dcterms:W3CDTF">2026-07-15T03:40:57Z</dcterms:created>
  <dcterms:modified xsi:type="dcterms:W3CDTF">2026-07-15T03:40:57Z</dcterms:modified>
</cp:coreProperties>
</file>

<file path=docProps/custom.xml><?xml version="1.0" encoding="utf-8"?>
<Properties xmlns="http://schemas.openxmlformats.org/officeDocument/2006/custom-properties" xmlns:vt="http://schemas.openxmlformats.org/officeDocument/2006/docPropsVTypes"/>
</file>