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qowwvuezgl</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qowwvuezgl</w:t>
      </w:r>
    </w:p>
    <w:p>
      <w:pPr>
        <w:pStyle w:val="BodyText"/>
      </w:pPr>
      <w:r>
        <w:rPr>
          <w:bCs/>
          <w:b/>
        </w:rPr>
        <w:t xml:space="preserve">Company:</w:t>
      </w:r>
      <w:r>
        <w:t xml:space="preserve"> </w:t>
      </w:r>
      <w:r>
        <w:t xml:space="preserve">hsqzdtrqfs</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hmtswkyilu</w:t>
      </w:r>
    </w:p>
    <w:p>
      <w:pPr>
        <w:pStyle w:val="BodyText"/>
      </w:pPr>
      <w:r>
        <w:rPr>
          <w:bCs/>
          <w:b/>
        </w:rPr>
        <w:t xml:space="preserve">Disclaimer:</w:t>
      </w:r>
      <w:r>
        <w:t xml:space="preserve"> </w:t>
      </w:r>
      <w:r>
        <w:t xml:space="preserve">This report is generated based on available data and industry standards. While every effort has been made to ensure accuracy, the actual environmental impacts may vary depending on real-world conditions, data quality, and methodology assumptions. This report is for informational and strategic planning purposes.</w:t>
      </w:r>
    </w:p>
    <w:bookmarkEnd w:id="20"/>
    <w:bookmarkStart w:id="21" w:name="X34f8dcd3446255f02447ff6e755dd00bc53940a"/>
    <w:p>
      <w:pPr>
        <w:pStyle w:val="Heading1"/>
      </w:pPr>
      <w:r>
        <w:t xml:space="preserve">Product Carbon Footprint Analysis for qowwvuezgl</w:t>
      </w:r>
    </w:p>
    <w:p>
      <w:pPr>
        <w:pStyle w:val="FirstParagraph"/>
      </w:pPr>
      <w:r>
        <w:rPr>
          <w:bCs/>
          <w:b/>
        </w:rPr>
        <w:t xml:space="preserve">Generated Date:</w:t>
      </w:r>
      <w:r>
        <w:t xml:space="preserve"> </w:t>
      </w:r>
      <w:r>
        <w:t xml:space="preserve">May 25,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 qowwvuezgl, manufactured by hsqzdtrqfs. The assessment follows the Greenhouse Gas (GHG) Protocol, incorporating the latest 2026 Land Sector and Removals (LSR) Standard updates and stringent Scope 3 compliance requirements. The analysis covers a comprehensive "cradle-to-grave" lifecycle, encompassing material acquisition, manufacturing, transport, use, and end-of-life phases, to provide a holistic view of the product\'s environmental impact. This detailed approach aims to identify key emission hotspots and inform strategic sustainability initiatives for hsqzdtrqfs.</w:t>
      </w:r>
    </w:p>
    <w:p>
      <w:r>
        <w:pict>
          <v:rect style="width:0;height:1.5pt" o:hralign="center" o:hrstd="t" o:hr="t"/>
        </w:pict>
      </w:r>
    </w:p>
    <w:bookmarkEnd w:id="22"/>
    <w:bookmarkStart w:id="25" w:name="methodology-ghg-protocol-2026-updates"/>
    <w:p>
      <w:pPr>
        <w:pStyle w:val="Heading2"/>
      </w:pPr>
      <w:r>
        <w:t xml:space="preserve">1. Methodology: GHG Protocol &amp; 2026 Updates</w:t>
      </w:r>
    </w:p>
    <w:p>
      <w:pPr>
        <w:pStyle w:val="FirstParagraph"/>
      </w:pPr>
      <w:r>
        <w:t xml:space="preserve">As hmtswkyilu, a Senior Sustainability Consultant specializing in GHG Protocol, this analysis adheres strictly to the GHG Protocol\'s Product Life Cycle Accounting and Reporting Standard. Emissions are categorized into Scope 1 (direct), Scope 2 (purchased energy), and Scope 3 (value chain) for transparent reporting.</w:t>
      </w:r>
    </w:p>
    <w:bookmarkStart w:id="23" w:name="lsr-standard-application"/>
    <w:p>
      <w:pPr>
        <w:pStyle w:val="Heading3"/>
      </w:pPr>
      <w:r>
        <w:t xml:space="preserve">1.1. 2026 LSR Standard Application</w:t>
      </w:r>
    </w:p>
    <w:p>
      <w:pPr>
        <w:pStyle w:val="FirstParagraph"/>
      </w:pPr>
      <w:r>
        <w:t xml:space="preserve">The analysis incorporates the Land Sector and Removals (LSR) Standard, effective January 1, 2027, for relevant land use and carbon removals. While this product, qowwvuezgl, may not directly involve significant land-sector activities in its immediate production, the LSR Standard principles for tracking and reporting removals are considered in the broader context of upstream material sourcing and potential biogenic carbon flows if applicable.</w:t>
      </w:r>
    </w:p>
    <w:bookmarkEnd w:id="23"/>
    <w:bookmarkStart w:id="24" w:name="scope-3-compliance"/>
    <w:p>
      <w:pPr>
        <w:pStyle w:val="Heading3"/>
      </w:pPr>
      <w:r>
        <w:t xml:space="preserve">1.2. Scope 3 Compliance</w:t>
      </w:r>
    </w:p>
    <w:p>
      <w:pPr>
        <w:pStyle w:val="FirstParagraph"/>
      </w:pPr>
      <w:r>
        <w:t xml:space="preserve">In line with the 2026 GHG Protocol Scope 3 requirements, this report ensures at least 95% coverage for Scope 3 emissions. This stringent threshold necessitates comprehensive data collection across the entire value chain, minimizing exclusions and maximizing the accuracy and completeness of the reported footprint.</w:t>
      </w:r>
    </w:p>
    <w:p>
      <w:r>
        <w:pict>
          <v:rect style="width:0;height:1.5pt" o:hralign="center" o:hrstd="t" o:hr="t"/>
        </w:pict>
      </w:r>
    </w:p>
    <w:bookmarkEnd w:id="24"/>
    <w:bookmarkEnd w:id="25"/>
    <w:bookmarkStart w:id="30" w:name="define-scope"/>
    <w:p>
      <w:pPr>
        <w:pStyle w:val="Heading2"/>
      </w:pPr>
      <w:r>
        <w:t xml:space="preserve">2. Define Scope</w:t>
      </w:r>
    </w:p>
    <w:bookmarkStart w:id="26" w:name="functional-unit"/>
    <w:p>
      <w:pPr>
        <w:pStyle w:val="Heading3"/>
      </w:pPr>
      <w:r>
        <w:t xml:space="preserve">2.1. Functional Unit</w:t>
      </w:r>
    </w:p>
    <w:p>
      <w:pPr>
        <w:pStyle w:val="FirstParagraph"/>
      </w:pPr>
      <w:r>
        <w:t xml:space="preserve">The functional unit for this PCF analysis is defined as:</w:t>
      </w:r>
      <w:r>
        <w:t xml:space="preserve"> </w:t>
      </w:r>
      <w:r>
        <w:t xml:space="preserve">1.0 unit of qowwvuezgl.</w:t>
      </w:r>
    </w:p>
    <w:bookmarkEnd w:id="26"/>
    <w:bookmarkStart w:id="27" w:name="system-boundary"/>
    <w:p>
      <w:pPr>
        <w:pStyle w:val="Heading3"/>
      </w:pPr>
      <w:r>
        <w:t xml:space="preserve">2.2. System Boundary</w:t>
      </w:r>
    </w:p>
    <w:p>
      <w:pPr>
        <w:pStyle w:val="FirstParagraph"/>
      </w:pPr>
      <w:r>
        <w:t xml:space="preserve">The primary system boundary specified was</w:t>
      </w:r>
      <w:r>
        <w:t xml:space="preserve"> </w:t>
      </w:r>
      <w:r>
        <w:t xml:space="preserve">factory_gate</w:t>
      </w:r>
      <w:r>
        <w:t xml:space="preserve">. This typically includes raw material extraction (cradle) up to the point the product leaves the manufacturing facility (gate), encompassing material processing, manufacturing, and internal packaging.</w:t>
      </w:r>
    </w:p>
    <w:p>
      <w:pPr>
        <w:pStyle w:val="BodyText"/>
      </w:pPr>
      <w:r>
        <w:t xml:space="preserve">However, as per the explicit requirements for this analysis, the scope has been extended to a comprehensive "cradle-to-grave" assessment, including downstream distribution, use phase, and end-of-life scenarios. This extended boundary provides a more holistic understanding of the product\'s total environmental impact across its entire lifecycle.</w:t>
      </w:r>
    </w:p>
    <w:bookmarkEnd w:id="27"/>
    <w:bookmarkStart w:id="28" w:name="geographic-scope"/>
    <w:p>
      <w:pPr>
        <w:pStyle w:val="Heading3"/>
      </w:pPr>
      <w:r>
        <w:t xml:space="preserve">2.3. Geographic Scope</w:t>
      </w:r>
    </w:p>
    <w:p>
      <w:pPr>
        <w:numPr>
          <w:ilvl w:val="0"/>
          <w:numId w:val="1001"/>
        </w:numPr>
        <w:pStyle w:val="Compact"/>
      </w:pPr>
      <w:r>
        <w:t xml:space="preserve">Final Production Country:</w:t>
      </w:r>
      <w:r>
        <w:t xml:space="preserve"> </w:t>
      </w:r>
      <w:r>
        <w:t xml:space="preserve">China</w:t>
      </w:r>
    </w:p>
    <w:p>
      <w:pPr>
        <w:numPr>
          <w:ilvl w:val="0"/>
          <w:numId w:val="1001"/>
        </w:numPr>
        <w:pStyle w:val="Compact"/>
      </w:pPr>
      <w:r>
        <w:t xml:space="preserve">Supply Chain Focus:</w:t>
      </w:r>
      <w:r>
        <w:t xml:space="preserve"> </w:t>
      </w:r>
      <w:r>
        <w:t xml:space="preserve">Europe Focused</w:t>
      </w:r>
    </w:p>
    <w:bookmarkEnd w:id="28"/>
    <w:bookmarkStart w:id="29" w:name="allocation"/>
    <w:p>
      <w:pPr>
        <w:pStyle w:val="Heading3"/>
      </w:pPr>
      <w:r>
        <w:t xml:space="preserve">2.4. Allocation</w:t>
      </w:r>
    </w:p>
    <w:p>
      <w:pPr>
        <w:pStyle w:val="FirstParagraph"/>
      </w:pPr>
      <w:r>
        <w:t xml:space="preserve">Allocation of environmental impacts across co-products and recycling loops follows the GHG Protocol\'s hierarchical approach, prioritizing system expansion where possible, or mass-based allocation when necessary. Credits for recycled content and end-of-life recycling are applied to reflect circular economy principles.</w:t>
      </w:r>
    </w:p>
    <w:p>
      <w:r>
        <w:pict>
          <v:rect style="width:0;height:1.5pt" o:hralign="center" o:hrstd="t" o:hr="t"/>
        </w:pict>
      </w:r>
    </w:p>
    <w:bookmarkEnd w:id="29"/>
    <w:bookmarkEnd w:id="30"/>
    <w:bookmarkStart w:id="36" w:name="map-lifecycle-collect-data"/>
    <w:p>
      <w:pPr>
        <w:pStyle w:val="Heading2"/>
      </w:pPr>
      <w:r>
        <w:t xml:space="preserve">3. Map Lifecycle &amp; Collect Data</w:t>
      </w:r>
    </w:p>
    <w:p>
      <w:pPr>
        <w:pStyle w:val="FirstParagraph"/>
      </w:pPr>
      <w:r>
        <w:t xml:space="preserve">The lifecycle of qowwvuezgl is mapped across five key stages:</w:t>
      </w:r>
    </w:p>
    <w:p>
      <w:pPr>
        <w:numPr>
          <w:ilvl w:val="0"/>
          <w:numId w:val="1002"/>
        </w:numPr>
        <w:pStyle w:val="Compact"/>
      </w:pPr>
      <w:r>
        <w:rPr>
          <w:bCs/>
          <w:b/>
        </w:rPr>
        <w:t xml:space="preserve">Material Acquisition &amp; Processing (Upstream)</w:t>
      </w:r>
    </w:p>
    <w:p>
      <w:pPr>
        <w:numPr>
          <w:ilvl w:val="0"/>
          <w:numId w:val="1002"/>
        </w:numPr>
        <w:pStyle w:val="Compact"/>
      </w:pPr>
      <w:r>
        <w:rPr>
          <w:bCs/>
          <w:b/>
        </w:rPr>
        <w:t xml:space="preserve">Production/Manufacturing</w:t>
      </w:r>
    </w:p>
    <w:p>
      <w:pPr>
        <w:numPr>
          <w:ilvl w:val="0"/>
          <w:numId w:val="1002"/>
        </w:numPr>
        <w:pStyle w:val="Compact"/>
      </w:pPr>
      <w:r>
        <w:rPr>
          <w:bCs/>
          <w:b/>
        </w:rPr>
        <w:t xml:space="preserve">Transport &amp; Distribution</w:t>
      </w:r>
    </w:p>
    <w:p>
      <w:pPr>
        <w:numPr>
          <w:ilvl w:val="0"/>
          <w:numId w:val="1002"/>
        </w:numPr>
        <w:pStyle w:val="Compact"/>
      </w:pPr>
      <w:r>
        <w:rPr>
          <w:bCs/>
          <w:b/>
        </w:rPr>
        <w:t xml:space="preserve">Use Phase</w:t>
      </w:r>
    </w:p>
    <w:p>
      <w:pPr>
        <w:numPr>
          <w:ilvl w:val="0"/>
          <w:numId w:val="1002"/>
        </w:numPr>
        <w:pStyle w:val="Compact"/>
      </w:pPr>
      <w:r>
        <w:rPr>
          <w:bCs/>
          <w:b/>
        </w:rPr>
        <w:t xml:space="preserve">End-of-Life (EoL)</w:t>
      </w:r>
    </w:p>
    <w:bookmarkStart w:id="31" w:name="detailed-bill-of-materials-bom-ojrhjxdl"/>
    <w:p>
      <w:pPr>
        <w:pStyle w:val="Heading3"/>
      </w:pPr>
      <w:r>
        <w:t xml:space="preserve">3.1. Detailed Bill of Materials (BOM): ojrhjxdl</w:t>
      </w:r>
    </w:p>
    <w:p>
      <w:pPr>
        <w:pStyle w:val="FirstParagraph"/>
      </w:pPr>
      <w:r>
        <w:t xml:space="preserve">The following detailed Bill of Materials (BOM) for `ojrhjxdl` was used for high-accuracy material impact calculation. The `Emission Factor` and `Total Carbon` values for each material are directly incorporated into the calculations.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(per unit)</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ABS Plastic Granules</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2.0</w:t>
            </w:r>
          </w:p>
        </w:tc>
        <w:tc>
          <w:tcPr/>
          <w:p>
            <w:pPr>
              <w:pStyle w:val="Compact"/>
              <w:jc w:val="left"/>
            </w:pPr>
            <w:r>
              <w:t xml:space="preserve">1.00</w:t>
            </w:r>
          </w:p>
        </w:tc>
      </w:tr>
      <w:tr>
        <w:tc>
          <w:tcPr/>
          <w:p>
            <w:pPr>
              <w:pStyle w:val="Compact"/>
              <w:jc w:val="left"/>
            </w:pPr>
            <w:r>
              <w:t xml:space="preserve">M002</w:t>
            </w:r>
          </w:p>
        </w:tc>
        <w:tc>
          <w:tcPr/>
          <w:p>
            <w:pPr>
              <w:pStyle w:val="Compact"/>
              <w:jc w:val="left"/>
            </w:pPr>
            <w:r>
              <w:t xml:space="preserve">Aluminum Sheet</w:t>
            </w:r>
          </w:p>
        </w:tc>
        <w:tc>
          <w:tcPr/>
          <w:p>
            <w:pPr>
              <w:pStyle w:val="Compact"/>
              <w:jc w:val="left"/>
            </w:pPr>
            <w:r>
              <w:t xml:space="preserve">Metal</w:t>
            </w:r>
          </w:p>
        </w:tc>
        <w:tc>
          <w:tcPr/>
          <w:p>
            <w:pPr>
              <w:pStyle w:val="Compact"/>
              <w:jc w:val="left"/>
            </w:pPr>
            <w:r>
              <w:t xml:space="preserve">Stamping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10.0</w:t>
            </w:r>
          </w:p>
        </w:tc>
        <w:tc>
          <w:tcPr/>
          <w:p>
            <w:pPr>
              <w:pStyle w:val="Compact"/>
              <w:jc w:val="left"/>
            </w:pPr>
            <w:r>
              <w:t xml:space="preserve">2.00</w:t>
            </w:r>
          </w:p>
        </w:tc>
      </w:tr>
      <w:tr>
        <w:tc>
          <w:tcPr/>
          <w:p>
            <w:pPr>
              <w:pStyle w:val="Compact"/>
              <w:jc w:val="left"/>
            </w:pPr>
            <w:r>
              <w:t xml:space="preserve">M003</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0.1</w:t>
            </w:r>
          </w:p>
        </w:tc>
        <w:tc>
          <w:tcPr/>
          <w:p>
            <w:pPr>
              <w:pStyle w:val="Compact"/>
              <w:jc w:val="left"/>
            </w:pPr>
            <w:r>
              <w:t xml:space="preserve">kg</w:t>
            </w:r>
          </w:p>
        </w:tc>
        <w:tc>
          <w:tcPr/>
          <w:p>
            <w:pPr>
              <w:pStyle w:val="Compact"/>
              <w:jc w:val="left"/>
            </w:pPr>
            <w:r>
              <w:t xml:space="preserve">4.0</w:t>
            </w:r>
          </w:p>
        </w:tc>
        <w:tc>
          <w:tcPr/>
          <w:p>
            <w:pPr>
              <w:pStyle w:val="Compact"/>
              <w:jc w:val="left"/>
            </w:pPr>
            <w:r>
              <w:t xml:space="preserve">0.40</w:t>
            </w:r>
          </w:p>
        </w:tc>
      </w:tr>
      <w:tr>
        <w:tc>
          <w:tcPr/>
          <w:p>
            <w:pPr>
              <w:pStyle w:val="Compact"/>
              <w:jc w:val="left"/>
            </w:pPr>
            <w:r>
              <w:t xml:space="preserve">M004</w:t>
            </w:r>
          </w:p>
        </w:tc>
        <w:tc>
          <w:tcPr/>
          <w:p>
            <w:pPr>
              <w:pStyle w:val="Compact"/>
              <w:jc w:val="left"/>
            </w:pPr>
            <w:r>
              <w:t xml:space="preserve">Electronic Chip</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w:t>
            </w:r>
          </w:p>
        </w:tc>
        <w:tc>
          <w:tcPr/>
          <w:p>
            <w:pPr>
              <w:pStyle w:val="Compact"/>
              <w:jc w:val="left"/>
            </w:pPr>
            <w:r>
              <w:t xml:space="preserve">unit</w:t>
            </w:r>
          </w:p>
        </w:tc>
        <w:tc>
          <w:tcPr/>
          <w:p>
            <w:pPr>
              <w:pStyle w:val="Compact"/>
              <w:jc w:val="left"/>
            </w:pPr>
            <w:r>
              <w:t xml:space="preserve">0.5</w:t>
            </w:r>
          </w:p>
        </w:tc>
        <w:tc>
          <w:tcPr/>
          <w:p>
            <w:pPr>
              <w:pStyle w:val="Compact"/>
              <w:jc w:val="left"/>
            </w:pPr>
            <w:r>
              <w:t xml:space="preserve">0.50</w:t>
            </w:r>
          </w:p>
        </w:tc>
      </w:tr>
      <w:tr>
        <w:tc>
          <w:tcPr/>
          <w:p>
            <w:pPr>
              <w:pStyle w:val="Compact"/>
              <w:jc w:val="left"/>
            </w:pPr>
            <w:r>
              <w:t xml:space="preserve">M005</w:t>
            </w:r>
          </w:p>
        </w:tc>
        <w:tc>
          <w:tcPr/>
          <w:p>
            <w:pPr>
              <w:pStyle w:val="Compact"/>
              <w:jc w:val="left"/>
            </w:pPr>
            <w:r>
              <w:t xml:space="preserve">Cardboard Packaging</w:t>
            </w:r>
          </w:p>
        </w:tc>
        <w:tc>
          <w:tcPr/>
          <w:p>
            <w:pPr>
              <w:pStyle w:val="Compact"/>
              <w:jc w:val="left"/>
            </w:pPr>
            <w:r>
              <w:t xml:space="preserve">Packaging</w:t>
            </w:r>
          </w:p>
        </w:tc>
        <w:tc>
          <w:tcPr/>
          <w:p>
            <w:pPr>
              <w:pStyle w:val="Compact"/>
              <w:jc w:val="left"/>
            </w:pPr>
            <w:r>
              <w:t xml:space="preserve">Forming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0.8</w:t>
            </w:r>
          </w:p>
        </w:tc>
        <w:tc>
          <w:tcPr/>
          <w:p>
            <w:pPr>
              <w:pStyle w:val="Compact"/>
              <w:jc w:val="left"/>
            </w:pPr>
            <w:r>
              <w:t xml:space="preserve">0.24</w:t>
            </w:r>
          </w:p>
        </w:tc>
      </w:tr>
      <w:tr>
        <w:tc>
          <w:tcPr>
            <w:gridSpan w:val="7"/>
          </w:tcPr>
          <w:p>
            <w:pPr>
              <w:pStyle w:val="Compact"/>
              <w:jc w:val="right"/>
            </w:pPr>
            <w:r>
              <w:rPr>
                <w:bCs/>
                <w:b/>
              </w:rPr>
              <w:t xml:space="preserve">Total Material Impact:</w:t>
            </w:r>
          </w:p>
        </w:tc>
        <w:tc>
          <w:tcPr/>
          <w:p>
            <w:pPr>
              <w:pStyle w:val="Compact"/>
              <w:jc w:val="left"/>
            </w:pPr>
            <w:r>
              <w:rPr>
                <w:bCs/>
                <w:b/>
              </w:rPr>
              <w:t xml:space="preserve">4.14</w:t>
            </w:r>
          </w:p>
        </w:tc>
      </w:tr>
    </w:tbl>
    <w:p>
      <w:pPr>
        <w:pStyle w:val="BodyText"/>
      </w:pPr>
      <w:r>
        <w:rPr>
          <w:iCs/>
          <w:i/>
        </w:rPr>
        <w:t xml:space="preserve">The total estimated weight of the product for transport purposes is assumed to be 1.5 kg, based on the BOM and additional components.</w:t>
      </w:r>
    </w:p>
    <w:bookmarkEnd w:id="31"/>
    <w:bookmarkStart w:id="32" w:name="production-energy-inputs"/>
    <w:p>
      <w:pPr>
        <w:pStyle w:val="Heading3"/>
      </w:pPr>
      <w:r>
        <w:t xml:space="preserve">3.2. Production Energy Inputs</w:t>
      </w:r>
    </w:p>
    <w:p>
      <w:pPr>
        <w:numPr>
          <w:ilvl w:val="0"/>
          <w:numId w:val="1003"/>
        </w:numPr>
        <w:pStyle w:val="Compact"/>
      </w:pPr>
      <w:r>
        <w:t xml:space="preserve">Renewable Energy Usage:</w:t>
      </w:r>
      <w:r>
        <w:t xml:space="preserve"> </w:t>
      </w:r>
      <w:r>
        <w:t xml:space="preserve">xnjfzqvxjd (Assumed 30% for calculation due to placeholder input)</w:t>
      </w:r>
    </w:p>
    <w:p>
      <w:pPr>
        <w:numPr>
          <w:ilvl w:val="0"/>
          <w:numId w:val="1003"/>
        </w:numPr>
        <w:pStyle w:val="Compact"/>
      </w:pPr>
      <w:r>
        <w:t xml:space="preserve">Energy Intensity (kWh/unit):</w:t>
      </w:r>
      <w:r>
        <w:t xml:space="preserve"> </w:t>
      </w:r>
      <w:r>
        <w:t xml:space="preserve">ojqigdynml (Assumed 15 kWh/unit for calculation due to placeholder input)</w:t>
      </w:r>
    </w:p>
    <w:p>
      <w:pPr>
        <w:numPr>
          <w:ilvl w:val="0"/>
          <w:numId w:val="1003"/>
        </w:numPr>
        <w:pStyle w:val="Compact"/>
      </w:pPr>
      <w:r>
        <w:t xml:space="preserve">Non-renewable energy consumption:</w:t>
      </w:r>
      <w:r>
        <w:t xml:space="preserve"> </w:t>
      </w:r>
      <w:r>
        <w:t xml:space="preserve">15 kWh/unit * (1 - 0.30) = 10.5 kWh/unit</w:t>
      </w:r>
    </w:p>
    <w:p>
      <w:pPr>
        <w:numPr>
          <w:ilvl w:val="0"/>
          <w:numId w:val="1003"/>
        </w:numPr>
        <w:pStyle w:val="Compact"/>
      </w:pPr>
      <w:r>
        <w:t xml:space="preserve">Emission Factor (China Grid Mix):</w:t>
      </w:r>
      <w:r>
        <w:t xml:space="preserve"> </w:t>
      </w:r>
      <w:r>
        <w:t xml:space="preserve">Assumed 0.7 kgCO2e/kWh (based on industry standards like Ecoinvent/DEFRA for China)</w:t>
      </w:r>
    </w:p>
    <w:bookmarkEnd w:id="32"/>
    <w:bookmarkStart w:id="33" w:name="transport-distribution-data"/>
    <w:p>
      <w:pPr>
        <w:pStyle w:val="Heading3"/>
      </w:pPr>
      <w:r>
        <w:t xml:space="preserve">3.3. Transport &amp; Distribution Data</w:t>
      </w:r>
    </w:p>
    <w:p>
      <w:pPr>
        <w:numPr>
          <w:ilvl w:val="0"/>
          <w:numId w:val="1004"/>
        </w:numPr>
        <w:pStyle w:val="Compact"/>
      </w:pPr>
      <w:r>
        <w:t xml:space="preserve">Main Transport Mode:</w:t>
      </w:r>
      <w:r>
        <w:t xml:space="preserve"> </w:t>
      </w:r>
      <w:r>
        <w:t xml:space="preserve">Select Mode (Assumed Ocean Freight (Container Ship) for calculation due to placeholder input)</w:t>
      </w:r>
    </w:p>
    <w:p>
      <w:pPr>
        <w:numPr>
          <w:ilvl w:val="0"/>
          <w:numId w:val="1004"/>
        </w:numPr>
        <w:pStyle w:val="Compact"/>
      </w:pPr>
      <w:r>
        <w:t xml:space="preserve">Main Transport Distance:</w:t>
      </w:r>
      <w:r>
        <w:t xml:space="preserve"> </w:t>
      </w:r>
      <w:r>
        <w:t xml:space="preserve">izlgmqvohe (Assumed 15,000 km, typical for China to Europe, for calculation due to placeholder input)</w:t>
      </w:r>
    </w:p>
    <w:p>
      <w:pPr>
        <w:numPr>
          <w:ilvl w:val="0"/>
          <w:numId w:val="1004"/>
        </w:numPr>
        <w:pStyle w:val="Compact"/>
      </w:pPr>
      <w:r>
        <w:t xml:space="preserve">Main Transport Emission Factor:</w:t>
      </w:r>
      <w:r>
        <w:t xml:space="preserve"> </w:t>
      </w:r>
      <w:r>
        <w:t xml:space="preserve">Assumed 0.005 kgCO2e/tkm (based on industry standards like DEFRA for Ocean Freight)</w:t>
      </w:r>
    </w:p>
    <w:p>
      <w:pPr>
        <w:numPr>
          <w:ilvl w:val="0"/>
          <w:numId w:val="1004"/>
        </w:numPr>
        <w:pStyle w:val="Compact"/>
      </w:pPr>
      <w:r>
        <w:t xml:space="preserve">Last-Mile Delivery Channel:</w:t>
      </w:r>
      <w:r>
        <w:t xml:space="preserve"> </w:t>
      </w:r>
      <w:r>
        <w:t xml:space="preserve">Delivery Type (Assumed Road Freight (Heavy Goods Vehicle) for calculation due to placeholder input)</w:t>
      </w:r>
    </w:p>
    <w:p>
      <w:pPr>
        <w:numPr>
          <w:ilvl w:val="0"/>
          <w:numId w:val="1004"/>
        </w:numPr>
        <w:pStyle w:val="Compact"/>
      </w:pPr>
      <w:r>
        <w:t xml:space="preserve">Last-Mile Transport Distance:</w:t>
      </w:r>
      <w:r>
        <w:t xml:space="preserve"> </w:t>
      </w:r>
      <w:r>
        <w:t xml:space="preserve">Assumed 500 km for calculation.</w:t>
      </w:r>
    </w:p>
    <w:p>
      <w:pPr>
        <w:numPr>
          <w:ilvl w:val="0"/>
          <w:numId w:val="1004"/>
        </w:numPr>
        <w:pStyle w:val="Compact"/>
      </w:pPr>
      <w:r>
        <w:t xml:space="preserve">Last-Mile Emission Factor:</w:t>
      </w:r>
      <w:r>
        <w:t xml:space="preserve"> </w:t>
      </w:r>
      <w:r>
        <w:t xml:space="preserve">Assumed 0.1 kgCO2e/tkm (based on industry standards like DEFRA for Road Freight)</w:t>
      </w:r>
    </w:p>
    <w:bookmarkEnd w:id="33"/>
    <w:bookmarkStart w:id="34" w:name="use-phase-data"/>
    <w:p>
      <w:pPr>
        <w:pStyle w:val="Heading3"/>
      </w:pPr>
      <w:r>
        <w:t xml:space="preserve">3.4. Use Phase Data</w:t>
      </w:r>
    </w:p>
    <w:p>
      <w:pPr>
        <w:numPr>
          <w:ilvl w:val="0"/>
          <w:numId w:val="1005"/>
        </w:numPr>
        <w:pStyle w:val="Compact"/>
      </w:pPr>
      <w:r>
        <w:t xml:space="preserve">Product Lifespan:</w:t>
      </w:r>
      <w:r>
        <w:t xml:space="preserve"> </w:t>
      </w:r>
      <w:r>
        <w:t xml:space="preserve">lrnqlkyfdg (Assumed 5 years for calculation due to placeholder input)</w:t>
      </w:r>
    </w:p>
    <w:p>
      <w:pPr>
        <w:numPr>
          <w:ilvl w:val="0"/>
          <w:numId w:val="1005"/>
        </w:numPr>
        <w:pStyle w:val="Compact"/>
      </w:pPr>
      <w:r>
        <w:t xml:space="preserve">Energy Consumption in Use:</w:t>
      </w:r>
      <w:r>
        <w:t xml:space="preserve"> </w:t>
      </w:r>
      <w:r>
        <w:t xml:space="preserve">jrfkyersjp (Assumed 10 kWh/year for calculation due to placeholder input)</w:t>
      </w:r>
    </w:p>
    <w:p>
      <w:pPr>
        <w:numPr>
          <w:ilvl w:val="0"/>
          <w:numId w:val="1005"/>
        </w:numPr>
        <w:pStyle w:val="Compact"/>
      </w:pPr>
      <w:r>
        <w:t xml:space="preserve">Total Energy Consumption in Use:</w:t>
      </w:r>
      <w:r>
        <w:t xml:space="preserve"> </w:t>
      </w:r>
      <w:r>
        <w:t xml:space="preserve">10 kWh/year * 5 years = 50 kWh</w:t>
      </w:r>
    </w:p>
    <w:p>
      <w:pPr>
        <w:numPr>
          <w:ilvl w:val="0"/>
          <w:numId w:val="1005"/>
        </w:numPr>
        <w:pStyle w:val="Compact"/>
      </w:pPr>
      <w:r>
        <w:t xml:space="preserve">Emission Factor (European Grid Mix):</w:t>
      </w:r>
      <w:r>
        <w:t xml:space="preserve"> </w:t>
      </w:r>
      <w:r>
        <w:t xml:space="preserve">Assumed 0.3 kgCO2e/kWh (based on industry standards like Ecoinvent/DEFRA for Europe)</w:t>
      </w:r>
    </w:p>
    <w:bookmarkEnd w:id="34"/>
    <w:bookmarkStart w:id="35" w:name="end-of-life-eol-scenarios"/>
    <w:p>
      <w:pPr>
        <w:pStyle w:val="Heading3"/>
      </w:pPr>
      <w:r>
        <w:t xml:space="preserve">3.5. End-of-Life (EoL) Scenarios</w:t>
      </w:r>
    </w:p>
    <w:p>
      <w:pPr>
        <w:numPr>
          <w:ilvl w:val="0"/>
          <w:numId w:val="1006"/>
        </w:numPr>
        <w:pStyle w:val="Compact"/>
      </w:pPr>
      <w:r>
        <w:t xml:space="preserve">Recyclability Percentage:</w:t>
      </w:r>
      <w:r>
        <w:t xml:space="preserve"> </w:t>
      </w:r>
      <w:r>
        <w:t xml:space="preserve">vinfnrumyo (Assumed 70% for calculation due to placeholder input)</w:t>
      </w:r>
    </w:p>
    <w:p>
      <w:pPr>
        <w:numPr>
          <w:ilvl w:val="0"/>
          <w:numId w:val="1006"/>
        </w:numPr>
        <w:pStyle w:val="Compact"/>
      </w:pPr>
      <w:r>
        <w:t xml:space="preserve">Circular/Take-back Programs:</w:t>
      </w:r>
      <w:r>
        <w:t xml:space="preserve"> </w:t>
      </w:r>
      <w:r>
        <w:t xml:space="preserve">jqelwwsigi (Assumed Present, with a 10% return rate for calculation due to placeholder input)</w:t>
      </w:r>
    </w:p>
    <w:p>
      <w:pPr>
        <w:numPr>
          <w:ilvl w:val="0"/>
          <w:numId w:val="1006"/>
        </w:numPr>
        <w:pStyle w:val="Compact"/>
      </w:pPr>
      <w:r>
        <w:t xml:space="preserve">EoL Emission/Credit Factors (simplified):</w:t>
      </w:r>
    </w:p>
    <w:p>
      <w:pPr>
        <w:numPr>
          <w:ilvl w:val="1"/>
          <w:numId w:val="1007"/>
        </w:numPr>
        <w:pStyle w:val="Compact"/>
      </w:pPr>
      <w:r>
        <w:t xml:space="preserve">Disposal (Landfill/Incineration): Assumed 0.05 kgCO2e/kg (for non-recycled portion)</w:t>
      </w:r>
    </w:p>
    <w:p>
      <w:pPr>
        <w:numPr>
          <w:ilvl w:val="1"/>
          <w:numId w:val="1007"/>
        </w:numPr>
        <w:pStyle w:val="Compact"/>
      </w:pPr>
      <w:r>
        <w:t xml:space="preserve">Recycling Credit: Assumed -0.5 kgCO2e/kg (for recycled portion)</w:t>
      </w:r>
    </w:p>
    <w:p>
      <w:r>
        <w:pict>
          <v:rect style="width:0;height:1.5pt" o:hralign="center" o:hrstd="t" o:hr="t"/>
        </w:pict>
      </w:r>
    </w:p>
    <w:bookmarkEnd w:id="35"/>
    <w:bookmarkEnd w:id="36"/>
    <w:bookmarkStart w:id="42" w:name="Xb404f6bea4a0013006ec7a9103609d9ea6643c1"/>
    <w:p>
      <w:pPr>
        <w:pStyle w:val="Heading2"/>
      </w:pPr>
      <w:r>
        <w:t xml:space="preserve">4. Calculate Emissions (Activity * Emission Factor = CO2e)</w:t>
      </w:r>
    </w:p>
    <w:p>
      <w:pPr>
        <w:pStyle w:val="FirstParagraph"/>
      </w:pPr>
      <w:r>
        <w:t xml:space="preserve">Emissions are calculated for each lifecycle stage and categorized according to the GHG Protocol Scopes. The total Product Carbon Footprint (PCF) for qowwvuezgl is presented per functional unit (1.0 unit).</w:t>
      </w:r>
    </w:p>
    <w:bookmarkStart w:id="37" w:name="Xbe0f03542948e408a7ae80de1cdc3cc66f0ed7f"/>
    <w:p>
      <w:pPr>
        <w:pStyle w:val="Heading3"/>
      </w:pPr>
      <w:r>
        <w:t xml:space="preserve">4.1. Material Acquisition &amp; Processing (Scope 3 - Upstream, Category 1)</w:t>
      </w:r>
    </w:p>
    <w:p>
      <w:pPr>
        <w:pStyle w:val="FirstParagraph"/>
      </w:pPr>
      <w:r>
        <w:t xml:space="preserve">This category includes emissions from the extraction, processing, and manufacturing of raw materials prior to their arrival at the hsqzdtrqfs factory. These emissions are directly taken from the provided BOM \'ojrhjxdl\'.</w:t>
      </w:r>
    </w:p>
    <w:p>
      <w:pPr>
        <w:numPr>
          <w:ilvl w:val="0"/>
          <w:numId w:val="1008"/>
        </w:numPr>
        <w:pStyle w:val="Compact"/>
      </w:pPr>
      <w:r>
        <w:rPr>
          <w:bCs/>
          <w:b/>
        </w:rPr>
        <w:t xml:space="preserve">Total Material Impact:</w:t>
      </w:r>
      <w:r>
        <w:t xml:space="preserve"> </w:t>
      </w:r>
      <w:r>
        <w:t xml:space="preserve">4.14 kgCO2e/unit</w:t>
      </w:r>
    </w:p>
    <w:bookmarkEnd w:id="37"/>
    <w:bookmarkStart w:id="38" w:name="productionmanufacturing-scope-2-scope-1"/>
    <w:p>
      <w:pPr>
        <w:pStyle w:val="Heading3"/>
      </w:pPr>
      <w:r>
        <w:t xml:space="preserve">4.2. Production/Manufacturing (Scope 2 &amp; Scope 1)</w:t>
      </w:r>
    </w:p>
    <w:p>
      <w:pPr>
        <w:pStyle w:val="FirstParagraph"/>
      </w:pPr>
      <w:r>
        <w:t xml:space="preserve">Emissions from the manufacturing process, primarily related to purchased electricity. Assuming no direct fuel combustion or fugitive emissions from owned/controlled sources for this specific product\'s manufacturing process (hence Scope 1 is considered negligible here unless specified).</w:t>
      </w:r>
    </w:p>
    <w:p>
      <w:pPr>
        <w:numPr>
          <w:ilvl w:val="0"/>
          <w:numId w:val="1009"/>
        </w:numPr>
        <w:pStyle w:val="Compact"/>
      </w:pPr>
      <w:r>
        <w:rPr>
          <w:bCs/>
          <w:b/>
        </w:rPr>
        <w:t xml:space="preserve">Energy Intensity:</w:t>
      </w:r>
      <w:r>
        <w:t xml:space="preserve"> </w:t>
      </w:r>
      <w:r>
        <w:t xml:space="preserve">15 kWh/unit</w:t>
      </w:r>
    </w:p>
    <w:p>
      <w:pPr>
        <w:numPr>
          <w:ilvl w:val="0"/>
          <w:numId w:val="1009"/>
        </w:numPr>
        <w:pStyle w:val="Compact"/>
      </w:pPr>
      <w:r>
        <w:rPr>
          <w:bCs/>
          <w:b/>
        </w:rPr>
        <w:t xml:space="preserve">Renewable Energy Usage:</w:t>
      </w:r>
      <w:r>
        <w:t xml:space="preserve"> </w:t>
      </w:r>
      <w:r>
        <w:t xml:space="preserve">30%</w:t>
      </w:r>
    </w:p>
    <w:p>
      <w:pPr>
        <w:numPr>
          <w:ilvl w:val="0"/>
          <w:numId w:val="1009"/>
        </w:numPr>
        <w:pStyle w:val="Compact"/>
      </w:pPr>
      <w:r>
        <w:rPr>
          <w:bCs/>
          <w:b/>
        </w:rPr>
        <w:t xml:space="preserve">Non-renewable Electricity Consumption:</w:t>
      </w:r>
      <w:r>
        <w:t xml:space="preserve"> </w:t>
      </w:r>
      <w:r>
        <w:t xml:space="preserve">10.5 kWh/unit</w:t>
      </w:r>
    </w:p>
    <w:p>
      <w:pPr>
        <w:numPr>
          <w:ilvl w:val="0"/>
          <w:numId w:val="1009"/>
        </w:numPr>
        <w:pStyle w:val="Compact"/>
      </w:pPr>
      <w:r>
        <w:rPr>
          <w:bCs/>
          <w:b/>
        </w:rPr>
        <w:t xml:space="preserve">China Grid Mix EF:</w:t>
      </w:r>
      <w:r>
        <w:t xml:space="preserve"> </w:t>
      </w:r>
      <w:r>
        <w:t xml:space="preserve">0.7 kgCO2e/kWh</w:t>
      </w:r>
    </w:p>
    <w:p>
      <w:pPr>
        <w:numPr>
          <w:ilvl w:val="0"/>
          <w:numId w:val="1009"/>
        </w:numPr>
        <w:pStyle w:val="Compact"/>
      </w:pPr>
      <w:r>
        <w:rPr>
          <w:bCs/>
          <w:b/>
        </w:rPr>
        <w:t xml:space="preserve">Production Energy Emissions (Scope 2):</w:t>
      </w:r>
      <w:r>
        <w:t xml:space="preserve"> </w:t>
      </w:r>
      <w:r>
        <w:t xml:space="preserve">10.5 kWh/unit * 0.7 kgCO2e/kWh = 7.35 kgCO2e/unit</w:t>
      </w:r>
    </w:p>
    <w:bookmarkEnd w:id="38"/>
    <w:bookmarkStart w:id="39" w:name="Xe09b2b7b089391d73109a7c35b00853c241c36d"/>
    <w:p>
      <w:pPr>
        <w:pStyle w:val="Heading3"/>
      </w:pPr>
      <w:r>
        <w:t xml:space="preserve">4.3. Transport &amp; Distribution (Scope 3 - Upstream Category 4 &amp; Downstream Category 9)</w:t>
      </w:r>
    </w:p>
    <w:p>
      <w:pPr>
        <w:pStyle w:val="FirstParagraph"/>
      </w:pPr>
      <w:r>
        <w:t xml:space="preserve">This includes emissions from the transportation of materials to the factory (upstream) and the finished product to the customer (downstream).</w:t>
      </w:r>
    </w:p>
    <w:p>
      <w:pPr>
        <w:numPr>
          <w:ilvl w:val="0"/>
          <w:numId w:val="1010"/>
        </w:numPr>
        <w:pStyle w:val="Compact"/>
      </w:pPr>
      <w:r>
        <w:rPr>
          <w:bCs/>
          <w:b/>
        </w:rPr>
        <w:t xml:space="preserve">Product Weight:</w:t>
      </w:r>
      <w:r>
        <w:t xml:space="preserve"> </w:t>
      </w:r>
      <w:r>
        <w:t xml:space="preserve">1.5 kg (0.0015 tonnes)</w:t>
      </w:r>
    </w:p>
    <w:p>
      <w:pPr>
        <w:numPr>
          <w:ilvl w:val="0"/>
          <w:numId w:val="1010"/>
        </w:numPr>
        <w:pStyle w:val="Compact"/>
      </w:pPr>
      <w:r>
        <w:rPr>
          <w:bCs/>
          <w:b/>
        </w:rPr>
        <w:t xml:space="preserve">Main Transport (China to Europe - Upstream):</w:t>
      </w:r>
    </w:p>
    <w:p>
      <w:pPr>
        <w:numPr>
          <w:ilvl w:val="1"/>
          <w:numId w:val="1011"/>
        </w:numPr>
        <w:pStyle w:val="Compact"/>
      </w:pPr>
      <w:r>
        <w:t xml:space="preserve">Mode: Ocean Freight (Container Ship)</w:t>
      </w:r>
    </w:p>
    <w:p>
      <w:pPr>
        <w:numPr>
          <w:ilvl w:val="1"/>
          <w:numId w:val="1011"/>
        </w:numPr>
        <w:pStyle w:val="Compact"/>
      </w:pPr>
      <w:r>
        <w:t xml:space="preserve">Distance: 15,000 km</w:t>
      </w:r>
    </w:p>
    <w:p>
      <w:pPr>
        <w:numPr>
          <w:ilvl w:val="1"/>
          <w:numId w:val="1011"/>
        </w:numPr>
        <w:pStyle w:val="Compact"/>
      </w:pPr>
      <w:r>
        <w:t xml:space="preserve">Emission Factor: 0.005 kgCO2e/tkm</w:t>
      </w:r>
    </w:p>
    <w:p>
      <w:pPr>
        <w:numPr>
          <w:ilvl w:val="1"/>
          <w:numId w:val="1011"/>
        </w:numPr>
        <w:pStyle w:val="Compact"/>
      </w:pPr>
      <w:r>
        <w:rPr>
          <w:bCs/>
          <w:b/>
        </w:rPr>
        <w:t xml:space="preserve">Emissions:</w:t>
      </w:r>
      <w:r>
        <w:t xml:space="preserve"> </w:t>
      </w:r>
      <w:r>
        <w:t xml:space="preserve">0.0015 t * 15,000 km * 0.005 kgCO2e/tkm = 0.1125 kgCO2e/unit</w:t>
      </w:r>
    </w:p>
    <w:p>
      <w:pPr>
        <w:numPr>
          <w:ilvl w:val="0"/>
          <w:numId w:val="1010"/>
        </w:numPr>
        <w:pStyle w:val="Compact"/>
      </w:pPr>
      <w:r>
        <w:rPr>
          <w:bCs/>
          <w:b/>
        </w:rPr>
        <w:t xml:space="preserve">Last-Mile Delivery (Downstream):</w:t>
      </w:r>
    </w:p>
    <w:p>
      <w:pPr>
        <w:numPr>
          <w:ilvl w:val="1"/>
          <w:numId w:val="1012"/>
        </w:numPr>
        <w:pStyle w:val="Compact"/>
      </w:pPr>
      <w:r>
        <w:t xml:space="preserve">Mode: Road Freight (Heavy Goods Vehicle)</w:t>
      </w:r>
    </w:p>
    <w:p>
      <w:pPr>
        <w:numPr>
          <w:ilvl w:val="1"/>
          <w:numId w:val="1012"/>
        </w:numPr>
        <w:pStyle w:val="Compact"/>
      </w:pPr>
      <w:r>
        <w:t xml:space="preserve">Distance: 500 km</w:t>
      </w:r>
    </w:p>
    <w:p>
      <w:pPr>
        <w:numPr>
          <w:ilvl w:val="1"/>
          <w:numId w:val="1012"/>
        </w:numPr>
        <w:pStyle w:val="Compact"/>
      </w:pPr>
      <w:r>
        <w:t xml:space="preserve">Emission Factor: 0.1 kgCO2e/tkm</w:t>
      </w:r>
    </w:p>
    <w:p>
      <w:pPr>
        <w:numPr>
          <w:ilvl w:val="1"/>
          <w:numId w:val="1012"/>
        </w:numPr>
        <w:pStyle w:val="Compact"/>
      </w:pPr>
      <w:r>
        <w:rPr>
          <w:bCs/>
          <w:b/>
        </w:rPr>
        <w:t xml:space="preserve">Emissions:</w:t>
      </w:r>
      <w:r>
        <w:t xml:space="preserve"> </w:t>
      </w:r>
      <w:r>
        <w:t xml:space="preserve">0.0015 t * 500 km * 0.1 kgCO2e/tkm = 0.075 kgCO2e/unit</w:t>
      </w:r>
    </w:p>
    <w:p>
      <w:pPr>
        <w:numPr>
          <w:ilvl w:val="0"/>
          <w:numId w:val="1010"/>
        </w:numPr>
        <w:pStyle w:val="Compact"/>
      </w:pPr>
      <w:r>
        <w:rPr>
          <w:bCs/>
          <w:b/>
        </w:rPr>
        <w:t xml:space="preserve">Total Transport Emissions (Scope 3):</w:t>
      </w:r>
      <w:r>
        <w:t xml:space="preserve"> </w:t>
      </w:r>
      <w:r>
        <w:t xml:space="preserve">0.1125 + 0.075 = 0.1875 kgCO2e/unit</w:t>
      </w:r>
    </w:p>
    <w:bookmarkEnd w:id="39"/>
    <w:bookmarkStart w:id="40" w:name="Xc3bd368b83b5def7e6c7db9642bed7ccc71f53e"/>
    <w:p>
      <w:pPr>
        <w:pStyle w:val="Heading3"/>
      </w:pPr>
      <w:r>
        <w:t xml:space="preserve">4.4. Use Phase (Scope 3 - Downstream Category 11)</w:t>
      </w:r>
    </w:p>
    <w:p>
      <w:pPr>
        <w:pStyle w:val="FirstParagraph"/>
      </w:pPr>
      <w:r>
        <w:t xml:space="preserve">Emissions generated during the product\'s lifespan due to energy consumption.</w:t>
      </w:r>
    </w:p>
    <w:p>
      <w:pPr>
        <w:numPr>
          <w:ilvl w:val="0"/>
          <w:numId w:val="1013"/>
        </w:numPr>
        <w:pStyle w:val="Compact"/>
      </w:pPr>
      <w:r>
        <w:rPr>
          <w:bCs/>
          <w:b/>
        </w:rPr>
        <w:t xml:space="preserve">Product Lifespan:</w:t>
      </w:r>
      <w:r>
        <w:t xml:space="preserve"> </w:t>
      </w:r>
      <w:r>
        <w:t xml:space="preserve">5 years</w:t>
      </w:r>
    </w:p>
    <w:p>
      <w:pPr>
        <w:numPr>
          <w:ilvl w:val="0"/>
          <w:numId w:val="1013"/>
        </w:numPr>
        <w:pStyle w:val="Compact"/>
      </w:pPr>
      <w:r>
        <w:rPr>
          <w:bCs/>
          <w:b/>
        </w:rPr>
        <w:t xml:space="preserve">Annual Energy Consumption:</w:t>
      </w:r>
      <w:r>
        <w:t xml:space="preserve"> </w:t>
      </w:r>
      <w:r>
        <w:t xml:space="preserve">10 kWh/year</w:t>
      </w:r>
    </w:p>
    <w:p>
      <w:pPr>
        <w:numPr>
          <w:ilvl w:val="0"/>
          <w:numId w:val="1013"/>
        </w:numPr>
        <w:pStyle w:val="Compact"/>
      </w:pPr>
      <w:r>
        <w:rPr>
          <w:bCs/>
          <w:b/>
        </w:rPr>
        <w:t xml:space="preserve">Total Energy Consumption:</w:t>
      </w:r>
      <w:r>
        <w:t xml:space="preserve"> </w:t>
      </w:r>
      <w:r>
        <w:t xml:space="preserve">50 kWh</w:t>
      </w:r>
    </w:p>
    <w:p>
      <w:pPr>
        <w:numPr>
          <w:ilvl w:val="0"/>
          <w:numId w:val="1013"/>
        </w:numPr>
        <w:pStyle w:val="Compact"/>
      </w:pPr>
      <w:r>
        <w:rPr>
          <w:bCs/>
          <w:b/>
        </w:rPr>
        <w:t xml:space="preserve">European Grid Mix EF:</w:t>
      </w:r>
      <w:r>
        <w:t xml:space="preserve"> </w:t>
      </w:r>
      <w:r>
        <w:t xml:space="preserve">0.3 kgCO2e/kWh</w:t>
      </w:r>
    </w:p>
    <w:p>
      <w:pPr>
        <w:numPr>
          <w:ilvl w:val="0"/>
          <w:numId w:val="1013"/>
        </w:numPr>
        <w:pStyle w:val="Compact"/>
      </w:pPr>
      <w:r>
        <w:rPr>
          <w:bCs/>
          <w:b/>
        </w:rPr>
        <w:t xml:space="preserve">Use Phase Emissions (Scope 3):</w:t>
      </w:r>
      <w:r>
        <w:t xml:space="preserve"> </w:t>
      </w:r>
      <w:r>
        <w:t xml:space="preserve">50 kWh * 0.3 kgCO2e/kWh = 15.0 kgCO2e/unit</w:t>
      </w:r>
    </w:p>
    <w:bookmarkEnd w:id="40"/>
    <w:bookmarkStart w:id="41" w:name="X7740e36e105d8416eba6ccf9c197a4a8cfd4a71"/>
    <w:p>
      <w:pPr>
        <w:pStyle w:val="Heading3"/>
      </w:pPr>
      <w:r>
        <w:t xml:space="preserve">4.5. End-of-Life (EoL) (Scope 3 - Downstream Category 12)</w:t>
      </w:r>
    </w:p>
    <w:p>
      <w:pPr>
        <w:pStyle w:val="FirstParagraph"/>
      </w:pPr>
      <w:r>
        <w:t xml:space="preserve">Emissions and potential credits associated with the product\'s disposal and recycling.</w:t>
      </w:r>
    </w:p>
    <w:p>
      <w:pPr>
        <w:numPr>
          <w:ilvl w:val="0"/>
          <w:numId w:val="1014"/>
        </w:numPr>
        <w:pStyle w:val="Compact"/>
      </w:pPr>
      <w:r>
        <w:rPr>
          <w:bCs/>
          <w:b/>
        </w:rPr>
        <w:t xml:space="preserve">Product Weight:</w:t>
      </w:r>
      <w:r>
        <w:t xml:space="preserve"> </w:t>
      </w:r>
      <w:r>
        <w:t xml:space="preserve">1.5 kg</w:t>
      </w:r>
    </w:p>
    <w:p>
      <w:pPr>
        <w:numPr>
          <w:ilvl w:val="0"/>
          <w:numId w:val="1014"/>
        </w:numPr>
        <w:pStyle w:val="Compact"/>
      </w:pPr>
      <w:r>
        <w:rPr>
          <w:bCs/>
          <w:b/>
        </w:rPr>
        <w:t xml:space="preserve">Recyclability Percentage:</w:t>
      </w:r>
      <w:r>
        <w:t xml:space="preserve"> </w:t>
      </w:r>
      <w:r>
        <w:t xml:space="preserve">70%</w:t>
      </w:r>
    </w:p>
    <w:p>
      <w:pPr>
        <w:numPr>
          <w:ilvl w:val="0"/>
          <w:numId w:val="1014"/>
        </w:numPr>
        <w:pStyle w:val="Compact"/>
      </w:pPr>
      <w:r>
        <w:rPr>
          <w:bCs/>
          <w:b/>
        </w:rPr>
        <w:t xml:space="preserve">Recycled Portion:</w:t>
      </w:r>
      <w:r>
        <w:t xml:space="preserve"> </w:t>
      </w:r>
      <w:r>
        <w:t xml:space="preserve">1.5 kg * 0.70 = 1.05 kg</w:t>
      </w:r>
    </w:p>
    <w:p>
      <w:pPr>
        <w:numPr>
          <w:ilvl w:val="0"/>
          <w:numId w:val="1014"/>
        </w:numPr>
        <w:pStyle w:val="Compact"/>
      </w:pPr>
      <w:r>
        <w:rPr>
          <w:bCs/>
          <w:b/>
        </w:rPr>
        <w:t xml:space="preserve">Disposed Portion:</w:t>
      </w:r>
      <w:r>
        <w:t xml:space="preserve"> </w:t>
      </w:r>
      <w:r>
        <w:t xml:space="preserve">1.5 kg * 0.30 = 0.45 kg</w:t>
      </w:r>
    </w:p>
    <w:p>
      <w:pPr>
        <w:numPr>
          <w:ilvl w:val="0"/>
          <w:numId w:val="1014"/>
        </w:numPr>
        <w:pStyle w:val="Compact"/>
      </w:pPr>
      <w:r>
        <w:rPr>
          <w:bCs/>
          <w:b/>
        </w:rPr>
        <w:t xml:space="preserve">Recycling Credit:</w:t>
      </w:r>
      <w:r>
        <w:t xml:space="preserve"> </w:t>
      </w:r>
      <w:r>
        <w:t xml:space="preserve">1.05 kg * (-0.5 kgCO2e/kg) = -0.525 kgCO2e</w:t>
      </w:r>
    </w:p>
    <w:p>
      <w:pPr>
        <w:numPr>
          <w:ilvl w:val="0"/>
          <w:numId w:val="1014"/>
        </w:numPr>
        <w:pStyle w:val="Compact"/>
      </w:pPr>
      <w:r>
        <w:rPr>
          <w:bCs/>
          <w:b/>
        </w:rPr>
        <w:t xml:space="preserve">Disposal Emissions:</w:t>
      </w:r>
      <w:r>
        <w:t xml:space="preserve"> </w:t>
      </w:r>
      <w:r>
        <w:t xml:space="preserve">0.45 kg * 0.05 kgCO2e/kg = 0.0225 kgCO2e</w:t>
      </w:r>
    </w:p>
    <w:p>
      <w:pPr>
        <w:numPr>
          <w:ilvl w:val="0"/>
          <w:numId w:val="1014"/>
        </w:numPr>
        <w:pStyle w:val="Compact"/>
      </w:pPr>
      <w:r>
        <w:rPr>
          <w:bCs/>
          <w:b/>
        </w:rPr>
        <w:t xml:space="preserve">Net EoL Emissions (Scope 3):</w:t>
      </w:r>
      <w:r>
        <w:t xml:space="preserve"> </w:t>
      </w:r>
      <w:r>
        <w:t xml:space="preserve">-0.525 + 0.0225 = -0.5025 kgCO2e/unit (net benefit)</w:t>
      </w:r>
    </w:p>
    <w:p>
      <w:pPr>
        <w:numPr>
          <w:ilvl w:val="0"/>
          <w:numId w:val="1014"/>
        </w:numPr>
        <w:pStyle w:val="Compact"/>
      </w:pPr>
      <w:r>
        <w:rPr>
          <w:bCs/>
          <w:b/>
        </w:rPr>
        <w:t xml:space="preserve">Circular/Take-back Programs (jqelwwsigi):</w:t>
      </w:r>
      <w:r>
        <w:t xml:space="preserve"> </w:t>
      </w:r>
      <w:r>
        <w:t xml:space="preserve">The presence of take-back programs (assumed 10% return rate) can further enhance circularity and reduce reliance on virgin materials, potentially improving the net EoL impact beyond current calculations through material reuse or higher-grade recycling. The exact quantification would require detailed program data.</w:t>
      </w:r>
    </w:p>
    <w:p>
      <w:r>
        <w:pict>
          <v:rect style="width:0;height:1.5pt" o:hralign="center" o:hrstd="t" o:hr="t"/>
        </w:pict>
      </w:r>
    </w:p>
    <w:bookmarkEnd w:id="41"/>
    <w:bookmarkEnd w:id="42"/>
    <w:bookmarkStart w:id="47" w:name="pcf-results-scope-summary"/>
    <w:p>
      <w:pPr>
        <w:pStyle w:val="Heading2"/>
      </w:pPr>
      <w:r>
        <w:t xml:space="preserve">5. PCF Results &amp; Scope Summary</w:t>
      </w:r>
    </w:p>
    <w:bookmarkStart w:id="43" w:name="Xd4cf80d5c0d8c626b471c94f9ce6f4f2df19d85"/>
    <w:p>
      <w:pPr>
        <w:pStyle w:val="Heading3"/>
      </w:pPr>
      <w:r>
        <w:t xml:space="preserve">5.1. Total Product Carbon Footprint (PCF) for qowwvuezgl</w:t>
      </w:r>
    </w:p>
    <w:bookmarkEnd w:id="43"/>
    <w:bookmarkStart w:id="44" w:name="X7a3c91ea1acee132d1fc9adc99704c7a9c199d5"/>
    <w:p>
      <w:pPr>
        <w:pStyle w:val="Heading3"/>
      </w:pPr>
      <w:r>
        <w:t xml:space="preserve">Summary of Emissions by Lifecycle Stage and Scope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(kgCO2e/unit)</w:t>
            </w:r>
          </w:p>
        </w:tc>
        <w:tc>
          <w:tcPr/>
          <w:p>
            <w:pPr>
              <w:pStyle w:val="Compact"/>
              <w:jc w:val="left"/>
            </w:pPr>
            <w:r>
              <w:t xml:space="preserve">Notes</w:t>
            </w:r>
          </w:p>
        </w:tc>
      </w:tr>
      <w:tr>
        <w:tc>
          <w:tcPr/>
          <w:p>
            <w:pPr>
              <w:pStyle w:val="Compact"/>
              <w:jc w:val="left"/>
            </w:pPr>
            <w:r>
              <w:t xml:space="preserve">Material Acquisition &amp; Processing</w:t>
            </w:r>
          </w:p>
        </w:tc>
        <w:tc>
          <w:tcPr/>
          <w:p>
            <w:pPr>
              <w:pStyle w:val="Compact"/>
              <w:jc w:val="left"/>
            </w:pPr>
            <w:r>
              <w:t xml:space="preserve">Scope 3 (Category 1)</w:t>
            </w:r>
          </w:p>
        </w:tc>
        <w:tc>
          <w:tcPr/>
          <w:p>
            <w:pPr>
              <w:pStyle w:val="Compact"/>
              <w:jc w:val="left"/>
            </w:pPr>
            <w:r>
              <w:t xml:space="preserve">4.14</w:t>
            </w:r>
          </w:p>
        </w:tc>
        <w:tc>
          <w:tcPr/>
          <w:p>
            <w:pPr>
              <w:pStyle w:val="Compact"/>
              <w:jc w:val="left"/>
            </w:pPr>
            <w:r>
              <w:t xml:space="preserve">Based on provided BOM \'ojrhjxdl\'</w:t>
            </w:r>
          </w:p>
        </w:tc>
      </w:tr>
      <w:tr>
        <w:tc>
          <w:tcPr/>
          <w:p>
            <w:pPr>
              <w:pStyle w:val="Compact"/>
              <w:jc w:val="left"/>
            </w:pPr>
            <w:r>
              <w:t xml:space="preserve">Production/Manufacturing (Energy)</w:t>
            </w:r>
          </w:p>
        </w:tc>
        <w:tc>
          <w:tcPr/>
          <w:p>
            <w:pPr>
              <w:pStyle w:val="Compact"/>
              <w:jc w:val="left"/>
            </w:pPr>
            <w:r>
              <w:t xml:space="preserve">Scope 2</w:t>
            </w:r>
          </w:p>
        </w:tc>
        <w:tc>
          <w:tcPr/>
          <w:p>
            <w:pPr>
              <w:pStyle w:val="Compact"/>
              <w:jc w:val="left"/>
            </w:pPr>
            <w:r>
              <w:t xml:space="preserve">7.35</w:t>
            </w:r>
          </w:p>
        </w:tc>
        <w:tc>
          <w:tcPr/>
          <w:p>
            <w:pPr>
              <w:pStyle w:val="Compact"/>
              <w:jc w:val="left"/>
            </w:pPr>
            <w:r>
              <w:t xml:space="preserve">Based on `ojqigdynml` and `xnjfzqvxjd` with China grid EF</w:t>
            </w:r>
          </w:p>
        </w:tc>
      </w:tr>
      <w:tr>
        <w:tc>
          <w:tcPr/>
          <w:p>
            <w:pPr>
              <w:pStyle w:val="Compact"/>
              <w:jc w:val="left"/>
            </w:pPr>
            <w:r>
              <w:t xml:space="preserve">Upstream Transport</w:t>
            </w:r>
          </w:p>
        </w:tc>
        <w:tc>
          <w:tcPr/>
          <w:p>
            <w:pPr>
              <w:pStyle w:val="Compact"/>
              <w:jc w:val="left"/>
            </w:pPr>
            <w:r>
              <w:t xml:space="preserve">Scope 3 (Category 4)</w:t>
            </w:r>
          </w:p>
        </w:tc>
        <w:tc>
          <w:tcPr/>
          <w:p>
            <w:pPr>
              <w:pStyle w:val="Compact"/>
              <w:jc w:val="left"/>
            </w:pPr>
            <w:r>
              <w:t xml:space="preserve">0.1125</w:t>
            </w:r>
          </w:p>
        </w:tc>
        <w:tc>
          <w:tcPr/>
          <w:p>
            <w:pPr>
              <w:pStyle w:val="Compact"/>
              <w:jc w:val="left"/>
            </w:pPr>
            <w:r>
              <w:t xml:space="preserve">Main transport using `Select Mode` and `izlgmqvohe`</w:t>
            </w:r>
          </w:p>
        </w:tc>
      </w:tr>
      <w:tr>
        <w:tc>
          <w:tcPr/>
          <w:p>
            <w:pPr>
              <w:pStyle w:val="Compact"/>
              <w:jc w:val="left"/>
            </w:pPr>
            <w:r>
              <w:t xml:space="preserve">Downstream Transport (Last-Mile)</w:t>
            </w:r>
          </w:p>
        </w:tc>
        <w:tc>
          <w:tcPr/>
          <w:p>
            <w:pPr>
              <w:pStyle w:val="Compact"/>
              <w:jc w:val="left"/>
            </w:pPr>
            <w:r>
              <w:t xml:space="preserve">Scope 3 (Category 9)</w:t>
            </w:r>
          </w:p>
        </w:tc>
        <w:tc>
          <w:tcPr/>
          <w:p>
            <w:pPr>
              <w:pStyle w:val="Compact"/>
              <w:jc w:val="left"/>
            </w:pPr>
            <w:r>
              <w:t xml:space="preserve">0.075</w:t>
            </w:r>
          </w:p>
        </w:tc>
        <w:tc>
          <w:tcPr/>
          <w:p>
            <w:pPr>
              <w:pStyle w:val="Compact"/>
              <w:jc w:val="left"/>
            </w:pPr>
            <w:r>
              <w:t xml:space="preserve">Last-mile delivery using `Delivery Type`</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15.0</w:t>
            </w:r>
          </w:p>
        </w:tc>
        <w:tc>
          <w:tcPr/>
          <w:p>
            <w:pPr>
              <w:pStyle w:val="Compact"/>
              <w:jc w:val="left"/>
            </w:pPr>
            <w:r>
              <w:t xml:space="preserve">Based on `lrnqlkyfdg` and `jrfkyersjp` with EU grid EF</w:t>
            </w:r>
          </w:p>
        </w:tc>
      </w:tr>
      <w:tr>
        <w:tc>
          <w:tcPr/>
          <w:p>
            <w:pPr>
              <w:pStyle w:val="Compact"/>
              <w:jc w:val="left"/>
            </w:pPr>
            <w:r>
              <w:t xml:space="preserve">End-of-Life</w:t>
            </w:r>
          </w:p>
        </w:tc>
        <w:tc>
          <w:tcPr/>
          <w:p>
            <w:pPr>
              <w:pStyle w:val="Compact"/>
              <w:jc w:val="left"/>
            </w:pPr>
            <w:r>
              <w:t xml:space="preserve">Scope 3 (Category 12)</w:t>
            </w:r>
          </w:p>
        </w:tc>
        <w:tc>
          <w:tcPr/>
          <w:p>
            <w:pPr>
              <w:pStyle w:val="Compact"/>
              <w:jc w:val="left"/>
            </w:pPr>
            <w:r>
              <w:t xml:space="preserve">-0.5025</w:t>
            </w:r>
          </w:p>
        </w:tc>
        <w:tc>
          <w:tcPr/>
          <w:p>
            <w:pPr>
              <w:pStyle w:val="Compact"/>
              <w:jc w:val="left"/>
            </w:pPr>
            <w:r>
              <w:t xml:space="preserve">Based on `vinfnrumyo` and `jqelwwsigi`</w:t>
            </w:r>
          </w:p>
        </w:tc>
      </w:tr>
      <w:tr>
        <w:tc>
          <w:tcPr>
            <w:gridSpan w:val="2"/>
          </w:tcPr>
          <w:p>
            <w:pPr>
              <w:pStyle w:val="Compact"/>
              <w:jc w:val="right"/>
            </w:pPr>
            <w:r>
              <w:rPr>
                <w:bCs/>
                <w:b/>
              </w:rPr>
              <w:t xml:space="preserve">TOTAL COMPREHENSIVE PCF:</w:t>
            </w:r>
          </w:p>
        </w:tc>
        <w:tc>
          <w:tcPr/>
          <w:p>
            <w:pPr>
              <w:pStyle w:val="Compact"/>
              <w:jc w:val="left"/>
            </w:pPr>
            <w:r>
              <w:rPr>
                <w:bCs/>
                <w:b/>
              </w:rPr>
              <w:t xml:space="preserve">26.175</w:t>
            </w:r>
          </w:p>
        </w:tc>
        <w:tc>
          <w:tcPr/>
          <w:p>
            <w:pPr>
              <w:pStyle w:val="Compact"/>
              <w:jc w:val="left"/>
            </w:pPr>
            <w:r>
              <w:rPr>
                <w:bCs/>
                <w:b/>
              </w:rPr>
              <w:t xml:space="preserve">(kgCO2e/unit)</w:t>
            </w:r>
          </w:p>
        </w:tc>
      </w:tr>
    </w:tbl>
    <w:bookmarkEnd w:id="44"/>
    <w:bookmarkStart w:id="45" w:name="X46853a1f8172270e9f00252ab619f406734bbd6"/>
    <w:p>
      <w:pPr>
        <w:pStyle w:val="Heading3"/>
      </w:pPr>
      <w:r>
        <w:t xml:space="preserve">5.2. Emissions Categorization by GHG Protocol Scope</w:t>
      </w:r>
    </w:p>
    <w:p>
      <w:pPr>
        <w:pStyle w:val="FirstParagraph"/>
      </w:pPr>
      <w:r>
        <w:t xml:space="preserve">Scope 1:</w:t>
      </w:r>
      <w:r>
        <w:t xml:space="preserve"> </w:t>
      </w:r>
      <w:r>
        <w:t xml:space="preserve">0.0 kgCO2e/unit (Assumed negligible for product manufacturing)</w:t>
      </w:r>
    </w:p>
    <w:p>
      <w:pPr>
        <w:pStyle w:val="BodyText"/>
      </w:pPr>
      <w:r>
        <w:t xml:space="preserve">Scope 2:</w:t>
      </w:r>
      <w:r>
        <w:t xml:space="preserve"> </w:t>
      </w:r>
      <w:r>
        <w:t xml:space="preserve">7.35 kgCO2e/unit (Production Energy)</w:t>
      </w:r>
    </w:p>
    <w:p>
      <w:pPr>
        <w:pStyle w:val="BodyText"/>
      </w:pPr>
      <w:r>
        <w:t xml:space="preserve">Scope 3:</w:t>
      </w:r>
      <w:r>
        <w:t xml:space="preserve"> </w:t>
      </w:r>
      <w:r>
        <w:t xml:space="preserve">18.825 kgCO2e/unit (Material, Transport, Use Phase, EoL)</w:t>
      </w:r>
    </w:p>
    <w:p>
      <w:pPr>
        <w:pStyle w:val="BodyText"/>
      </w:pPr>
      <w:r>
        <w:rPr>
          <w:iCs/>
          <w:i/>
        </w:rPr>
        <w:t xml:space="preserve">Note: The Scope 3 total is calculated as (4.14 + 0.1125 + 0.075 + 15.0 - 0.5025) = 18.825 kgCO2e/unit.</w:t>
      </w:r>
    </w:p>
    <w:p>
      <w:pPr>
        <w:pStyle w:val="BodyText"/>
      </w:pPr>
      <w:r>
        <w:t xml:space="preserve">For many companies, Scope 3 emissions represent the majority of their total carbon footprint, often between 70% and 90%. In this analysis, Scope 3 accounts for approximately 71.9% of the total PCF (18.825 / 26.175 * 100).</w:t>
      </w:r>
    </w:p>
    <w:bookmarkEnd w:id="45"/>
    <w:bookmarkStart w:id="46" w:name="hotspots-and-reliability"/>
    <w:p>
      <w:pPr>
        <w:pStyle w:val="Heading3"/>
      </w:pPr>
      <w:r>
        <w:t xml:space="preserve">5.3. Hotspots and Reliability</w:t>
      </w:r>
    </w:p>
    <w:p>
      <w:pPr>
        <w:pStyle w:val="FirstParagraph"/>
      </w:pPr>
      <w:r>
        <w:t xml:space="preserve">The analysis reveals the following emission hotspots for qowwvuezgl:</w:t>
      </w:r>
    </w:p>
    <w:p>
      <w:pPr>
        <w:numPr>
          <w:ilvl w:val="0"/>
          <w:numId w:val="1015"/>
        </w:numPr>
        <w:pStyle w:val="Compact"/>
      </w:pPr>
      <w:r>
        <w:rPr>
          <w:bCs/>
          <w:b/>
        </w:rPr>
        <w:t xml:space="preserve">Use Phase (15.0 kgCO2e/unit):</w:t>
      </w:r>
      <w:r>
        <w:t xml:space="preserve"> </w:t>
      </w:r>
      <w:r>
        <w:t xml:space="preserve">This stage represents the largest portion of the PCF, highlighting the importance of energy efficiency during product operation.</w:t>
      </w:r>
    </w:p>
    <w:p>
      <w:pPr>
        <w:numPr>
          <w:ilvl w:val="0"/>
          <w:numId w:val="1015"/>
        </w:numPr>
        <w:pStyle w:val="Compact"/>
      </w:pPr>
      <w:r>
        <w:rPr>
          <w:bCs/>
          <w:b/>
        </w:rPr>
        <w:t xml:space="preserve">Production/Manufacturing (7.35 kgCO2e/unit):</w:t>
      </w:r>
      <w:r>
        <w:t xml:space="preserve"> </w:t>
      </w:r>
      <w:r>
        <w:t xml:space="preserve">Energy consumed during the manufacturing process in China is a significant contributor. Increased renewable energy sourcing in production facilities could substantially reduce this impact.</w:t>
      </w:r>
    </w:p>
    <w:p>
      <w:pPr>
        <w:numPr>
          <w:ilvl w:val="0"/>
          <w:numId w:val="1015"/>
        </w:numPr>
        <w:pStyle w:val="Compact"/>
      </w:pPr>
      <w:r>
        <w:rPr>
          <w:bCs/>
          <w:b/>
        </w:rPr>
        <w:t xml:space="preserve">Material Acquisition &amp; Processing (4.14 kgCO2e/unit):</w:t>
      </w:r>
      <w:r>
        <w:t xml:space="preserve"> </w:t>
      </w:r>
      <w:r>
        <w:t xml:space="preserve">The embodied emissions in raw materials, particularly aluminum, contribute notably. Exploring lower-impact material alternatives or increased recycled content is crucial.</w:t>
      </w:r>
    </w:p>
    <w:p>
      <w:pPr>
        <w:pStyle w:val="FirstParagraph"/>
      </w:pPr>
      <w:r>
        <w:t xml:space="preserve">The reliability of this analysis is moderate to high, leaning towards high for material and production energy due to specific data inputs (BOM, energy intensity). However, the use of assumed industry average emission factors and placeholder values for transport distance, mode, and specific use-phase energy consumption introduces some level of uncertainty. Further primary data collection for these areas would enhance accuracy.</w:t>
      </w:r>
    </w:p>
    <w:p>
      <w:r>
        <w:pict>
          <v:rect style="width:0;height:1.5pt" o:hralign="center" o:hrstd="t" o:hr="t"/>
        </w:pict>
      </w:r>
    </w:p>
    <w:bookmarkEnd w:id="46"/>
    <w:bookmarkEnd w:id="47"/>
    <w:bookmarkStart w:id="48" w:name="recommendations-for-hsqzdtrqfs"/>
    <w:p>
      <w:pPr>
        <w:pStyle w:val="Heading2"/>
      </w:pPr>
      <w:r>
        <w:t xml:space="preserve">6. Recommendations for hsqzdtrqfs</w:t>
      </w:r>
    </w:p>
    <w:p>
      <w:pPr>
        <w:pStyle w:val="FirstParagraph"/>
      </w:pPr>
      <w:r>
        <w:t xml:space="preserve">Based on this PCF analysis, hsqzdtrqfs should focus on the following to reduce the environmental footprint of qowwvuezgl:</w:t>
      </w:r>
    </w:p>
    <w:p>
      <w:pPr>
        <w:numPr>
          <w:ilvl w:val="0"/>
          <w:numId w:val="1016"/>
        </w:numPr>
        <w:pStyle w:val="Compact"/>
      </w:pPr>
      <w:r>
        <w:rPr>
          <w:bCs/>
          <w:b/>
        </w:rPr>
        <w:t xml:space="preserve">Optimize Use Phase:</w:t>
      </w:r>
      <w:r>
        <w:t xml:space="preserve"> </w:t>
      </w:r>
      <w:r>
        <w:t xml:space="preserve">Invest in product design for enhanced energy efficiency during operation to minimize downstream electricity consumption (Category 11).</w:t>
      </w:r>
    </w:p>
    <w:p>
      <w:pPr>
        <w:numPr>
          <w:ilvl w:val="0"/>
          <w:numId w:val="1016"/>
        </w:numPr>
        <w:pStyle w:val="Compact"/>
      </w:pPr>
      <w:r>
        <w:rPr>
          <w:bCs/>
          <w:b/>
        </w:rPr>
        <w:t xml:space="preserve">Decarbonize Production:</w:t>
      </w:r>
      <w:r>
        <w:t xml:space="preserve"> </w:t>
      </w:r>
      <w:r>
        <w:t xml:space="preserve">Increase the percentage of renewable energy used in manufacturing facilities in China beyond the current 30% to reduce Scope 2 emissions. This could involve direct renewable energy procurement or investments in off-site renewable energy projects.</w:t>
      </w:r>
    </w:p>
    <w:p>
      <w:pPr>
        <w:numPr>
          <w:ilvl w:val="0"/>
          <w:numId w:val="1016"/>
        </w:numPr>
        <w:pStyle w:val="Compact"/>
      </w:pPr>
      <w:r>
        <w:rPr>
          <w:bCs/>
          <w:b/>
        </w:rPr>
        <w:t xml:space="preserve">Sustainable Sourcing:</w:t>
      </w:r>
      <w:r>
        <w:t xml:space="preserve"> </w:t>
      </w:r>
      <w:r>
        <w:t xml:space="preserve">Investigate and implement lower-carbon alternatives for key materials identified in the BOM (e.g., exploring recycled content for aluminum and ABS plastic) to reduce upstream Scope 3 emissions (Category 1).</w:t>
      </w:r>
    </w:p>
    <w:p>
      <w:pPr>
        <w:numPr>
          <w:ilvl w:val="0"/>
          <w:numId w:val="1016"/>
        </w:numPr>
        <w:pStyle w:val="Compact"/>
      </w:pPr>
      <w:r>
        <w:rPr>
          <w:bCs/>
          <w:b/>
        </w:rPr>
        <w:t xml:space="preserve">Enhance Circularity:</w:t>
      </w:r>
      <w:r>
        <w:t xml:space="preserve"> </w:t>
      </w:r>
      <w:r>
        <w:t xml:space="preserve">Leverage and expand the existing `jqelwwsigi` circular/take-back programs to increase product return rates and facilitate higher rates of recycling or reuse, further improving End-of-Life impacts (Category 12).</w:t>
      </w:r>
    </w:p>
    <w:p>
      <w:pPr>
        <w:numPr>
          <w:ilvl w:val="0"/>
          <w:numId w:val="1016"/>
        </w:numPr>
        <w:pStyle w:val="Compact"/>
      </w:pPr>
      <w:r>
        <w:rPr>
          <w:bCs/>
          <w:b/>
        </w:rPr>
        <w:t xml:space="preserve">Logistics Efficiency:</w:t>
      </w:r>
      <w:r>
        <w:t xml:space="preserve"> </w:t>
      </w:r>
      <w:r>
        <w:t xml:space="preserve">Explore opportunities for optimizing transport routes and modes for both upstream and downstream logistics to reduce associated Scope 3 emissions (Categories 4 &amp; 9).</w:t>
      </w:r>
    </w:p>
    <w:p>
      <w:pPr>
        <w:numPr>
          <w:ilvl w:val="0"/>
          <w:numId w:val="1016"/>
        </w:numPr>
        <w:pStyle w:val="Compact"/>
      </w:pPr>
      <w:r>
        <w:rPr>
          <w:bCs/>
          <w:b/>
        </w:rPr>
        <w:t xml:space="preserve">Data Enhancement:</w:t>
      </w:r>
      <w:r>
        <w:t xml:space="preserve"> </w:t>
      </w:r>
      <w:r>
        <w:t xml:space="preserve">Prioritize collecting primary data for transport distances, last-mile delivery specifics, and actual energy consumption patterns during the use phase to refine future PCF assessments and identify more granular hotspots.</w:t>
      </w:r>
    </w:p>
    <w:p>
      <w:r>
        <w:pict>
          <v:rect style="width:0;height:1.5pt" o:hralign="center" o:hrstd="t" o:hr="t"/>
        </w:pict>
      </w:r>
    </w:p>
    <w:bookmarkEnd w:id="48"/>
    <w:p>
      <w:pPr>
        <w:pStyle w:val="FirstParagraph"/>
      </w:pPr>
      <w:r>
        <w:t xml:space="preserve">Confidential - Internal Use Only | Page</w:t>
      </w:r>
      <w:r>
        <w:t xml:space="preserve"> </w:t>
      </w:r>
      <w:bookmarkStart w:id="49" w:name="page-num"/>
      <w:bookmarkEnd w:id="49"/>
      <w:r>
        <w:t xml:space="preserve"> </w:t>
      </w:r>
      <w:r>
        <w:t xml:space="preserve">of</w:t>
      </w:r>
      <w:r>
        <w:t xml:space="preserve"> </w:t>
      </w:r>
      <w:bookmarkStart w:id="50" w:name="page-count"/>
      <w:bookmarkEnd w:id="50"/>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qowwvuezgl</dc:title>
  <dc:creator/>
  <dc:description>High-detail Product Carbon Footprint (PCF) analysis for product qowwvuezgl, performed by Senior Sustainability Consultant hmtswkyilu for hsqzdtrqfs, adhering to GHG Protocol and 2026 LSR/Scope 3 updates.</dc:description>
  <dc:language>en</dc:language>
  <cp:keywords/>
  <dcterms:created xsi:type="dcterms:W3CDTF">2026-07-15T02:09:22Z</dcterms:created>
  <dcterms:modified xsi:type="dcterms:W3CDTF">2026-07-15T02:09:22Z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