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qopghenowz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qopghenowz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iypsixmetj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emjxsmvpdp</w:t>
      </w:r>
    </w:p>
    <w:p>
      <w:pPr>
        <w:pStyle w:val="BodyText"/>
      </w:pPr>
      <w:r>
        <w:t xml:space="preserve">This report is generated based on available data and industry standards, providing an estimate of the product\'s carbon footprint.</w:t>
      </w:r>
      <w:r>
        <w:t xml:space="preserve"> </w:t>
      </w:r>
      <w:r>
        <w:t xml:space="preserve">The accuracy is dependent on the quality and completeness of input data.</w:t>
      </w:r>
    </w:p>
    <w:bookmarkEnd w:id="20"/>
    <w:bookmarkStart w:id="42" w:name="Xd47412b4af702cb3038e7d8f2fed4c37ebfd9ef"/>
    <w:p>
      <w:pPr>
        <w:pStyle w:val="Heading1"/>
      </w:pPr>
      <w:r>
        <w:t xml:space="preserve">Product Carbon Footprint (PCF) Analysis: qopghenowz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21, 2026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iypsixmetj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emjxsmvpdp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\'qopghenowz\', manufactured by \'iypsixmetj\'.</w:t>
      </w:r>
      <w:r>
        <w:t xml:space="preserve"> </w:t>
      </w:r>
      <w:r>
        <w:t xml:space="preserve">Conducted by \'emjxsmvpdp\' in accordance with the GHG Protocol, including the 2026 Land Sector and Removals (LSR) Standard,</w:t>
      </w:r>
      <w:r>
        <w:t xml:space="preserve"> </w:t>
      </w:r>
      <w:r>
        <w:t xml:space="preserve">this analysis aims to quantify the greenhouse gas emissions associated with the product across its lifecycle.</w:t>
      </w:r>
      <w:r>
        <w:t xml:space="preserve"> </w:t>
      </w:r>
      <w:r>
        <w:t xml:space="preserve">The PCF provides critical insights into emission hotspots, guiding strategic sustainability initiatives and ensuring</w:t>
      </w:r>
      <w:r>
        <w:t xml:space="preserve"> </w:t>
      </w:r>
      <w:r>
        <w:t xml:space="preserve">compliance with evolving reporting requirements, particularly the target of at least 95% coverage for Scope 3 emissions.</w:t>
      </w:r>
    </w:p>
    <w:p>
      <w:r>
        <w:pict>
          <v:rect style="width:0;height:1.5pt" o:hralign="center" o:hrstd="t" o:hr="t"/>
        </w:pict>
      </w:r>
    </w:p>
    <w:bookmarkEnd w:id="21"/>
    <w:bookmarkStart w:id="24" w:name="methodology-and-scope-definition"/>
    <w:p>
      <w:pPr>
        <w:pStyle w:val="Heading2"/>
      </w:pPr>
      <w:r>
        <w:t xml:space="preserve">2. Methodology and Scope Definition</w:t>
      </w:r>
    </w:p>
    <w:p>
      <w:pPr>
        <w:pStyle w:val="FirstParagraph"/>
      </w:pPr>
      <w:r>
        <w:t xml:space="preserve">The Product Carbon Footprint (PCF) for \'qopghenowz\' was determined following the five-step methodology recommended by the GHG Protocol.</w:t>
      </w:r>
      <w:r>
        <w:t xml:space="preserve"> </w:t>
      </w:r>
      <w:r>
        <w:t xml:space="preserve">This approach ensures comprehensive and consistent accounting of greenhouse gas emissions throughout the product\'s lifecycle.</w:t>
      </w:r>
    </w:p>
    <w:bookmarkStart w:id="22" w:name="define-scope"/>
    <w:p>
      <w:pPr>
        <w:pStyle w:val="Heading3"/>
      </w:pPr>
      <w:r>
        <w:t xml:space="preserve">2.1. Define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functional unit for this analysis is defined as 1.0 unit of \'qopghenowz\'. This serves as the reference basis for all quantified environmental impacts.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The system boundary adopted is "factory_gate". This encompasses all emissions from raw material extraction, processing, manufacturing, and transport up to the point the finished product leaves the manufacturing facility. Emissions from the use phase and end-of-life are also included to provide a full cradle-to-grave perspective, going beyond the factory gate for a comprehensive assessment.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1"/>
          <w:numId w:val="1002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Emissions from shared processes or co-products were allocated based on industry-standard physical allocation methods (e.g., mass, energy content) where applicable, ensuring emissions are proportionally assigned to the functional unit.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All calculations and reporting strictly adhere to the GHG Protocol Product Standard, incorporating the 2026 Land Sector and Removals (LSR) Standard for land use and carbon removals.</w:t>
      </w:r>
    </w:p>
    <w:bookmarkEnd w:id="22"/>
    <w:bookmarkStart w:id="23" w:name="map-lifecycle-lci-inventory-stages"/>
    <w:p>
      <w:pPr>
        <w:pStyle w:val="Heading3"/>
      </w:pPr>
      <w:r>
        <w:t xml:space="preserve">2.2. Map Lifecycle (LCI Inventory Stages)</w:t>
      </w:r>
    </w:p>
    <w:p>
      <w:pPr>
        <w:pStyle w:val="FirstParagraph"/>
      </w:pPr>
      <w:r>
        <w:t xml:space="preserve">The lifecycle of \'qopghenowz\' was mapped into the following stages to facilitate comprehensive data collection and emission calculation: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Raw Material Acquisition &amp; Pre-processing (Cradle-to-Gate Scope):</w:t>
      </w:r>
    </w:p>
    <w:p>
      <w:pPr>
        <w:numPr>
          <w:ilvl w:val="1"/>
          <w:numId w:val="1004"/>
        </w:numPr>
        <w:pStyle w:val="Compact"/>
      </w:pPr>
      <w:r>
        <w:t xml:space="preserve">Extraction and initial processing of all materials listed in the Detailed Bill of Materials (BOM).</w:t>
      </w:r>
    </w:p>
    <w:p>
      <w:pPr>
        <w:numPr>
          <w:ilvl w:val="1"/>
          <w:numId w:val="1004"/>
        </w:numPr>
        <w:pStyle w:val="Compact"/>
      </w:pPr>
      <w:r>
        <w:t xml:space="preserve">Production of intermediate components.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Manufacturing / Production:</w:t>
      </w:r>
    </w:p>
    <w:p>
      <w:pPr>
        <w:numPr>
          <w:ilvl w:val="1"/>
          <w:numId w:val="1005"/>
        </w:numPr>
        <w:pStyle w:val="Compact"/>
      </w:pPr>
      <w:r>
        <w:t xml:space="preserve">Energy consumption (electricity, heat) at the \'iypsixmetj\' manufacturing facility in China.</w:t>
      </w:r>
    </w:p>
    <w:p>
      <w:pPr>
        <w:numPr>
          <w:ilvl w:val="1"/>
          <w:numId w:val="1005"/>
        </w:numPr>
        <w:pStyle w:val="Compact"/>
      </w:pPr>
      <w:r>
        <w:t xml:space="preserve">Process emissions directly attributable to the transformation of raw materials into the final product.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&amp; Logistics:</w:t>
      </w:r>
    </w:p>
    <w:p>
      <w:pPr>
        <w:numPr>
          <w:ilvl w:val="1"/>
          <w:numId w:val="1006"/>
        </w:numPr>
        <w:pStyle w:val="Compact"/>
      </w:pPr>
      <w:r>
        <w:t xml:space="preserve">Inbound transport of raw materials and components to the manufacturing facility.</w:t>
      </w:r>
    </w:p>
    <w:p>
      <w:pPr>
        <w:numPr>
          <w:ilvl w:val="1"/>
          <w:numId w:val="1006"/>
        </w:numPr>
        <w:pStyle w:val="Compact"/>
      </w:pPr>
      <w:r>
        <w:t xml:space="preserve">Outbound transport of the finished product to the distribution centers and ultimately to the customer.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Use Phase:</w:t>
      </w:r>
    </w:p>
    <w:p>
      <w:pPr>
        <w:numPr>
          <w:ilvl w:val="1"/>
          <w:numId w:val="1007"/>
        </w:numPr>
        <w:pStyle w:val="Compact"/>
      </w:pPr>
      <w:r>
        <w:t xml:space="preserve">Energy consumption during the product\'s operational lifespan.</w:t>
      </w:r>
    </w:p>
    <w:p>
      <w:pPr>
        <w:numPr>
          <w:ilvl w:val="1"/>
          <w:numId w:val="1007"/>
        </w:numPr>
        <w:pStyle w:val="Compact"/>
      </w:pPr>
      <w:r>
        <w:t xml:space="preserve">Maintenance and repair activities (if significant).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End-of-Life (EoL):</w:t>
      </w:r>
    </w:p>
    <w:p>
      <w:pPr>
        <w:numPr>
          <w:ilvl w:val="1"/>
          <w:numId w:val="1008"/>
        </w:numPr>
        <w:pStyle w:val="Compact"/>
      </w:pPr>
      <w:r>
        <w:t xml:space="preserve">Collection, dismantling, recycling, incineration, or landfilling of the product and its components after its useful life.</w:t>
      </w:r>
    </w:p>
    <w:p>
      <w:pPr>
        <w:numPr>
          <w:ilvl w:val="1"/>
          <w:numId w:val="1008"/>
        </w:numPr>
        <w:pStyle w:val="Compact"/>
      </w:pPr>
      <w:r>
        <w:t xml:space="preserve">Credits for avoided emissions through circular economy initiatives (e.g., recycling, take-back programs).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30" w:name="data-collection-and-inputs"/>
    <w:p>
      <w:pPr>
        <w:pStyle w:val="Heading2"/>
      </w:pPr>
      <w:r>
        <w:t xml:space="preserve">3. Data Collection and Inputs</w:t>
      </w:r>
    </w:p>
    <w:p>
      <w:pPr>
        <w:pStyle w:val="FirstParagraph"/>
      </w:pPr>
      <w:r>
        <w:t xml:space="preserve">Primary and secondary data were diligently collected for each lifecycle stage. Where primary data was unavailable, high-quality secondary data from reputable databases (e.g., Ecoinvent, DEFRA) was utilized, representative of the geographic scope and technological processes involved.</w:t>
      </w:r>
    </w:p>
    <w:bookmarkStart w:id="25" w:name="detailed-bill-of-materials-bom-nexvzwvf"/>
    <w:p>
      <w:pPr>
        <w:pStyle w:val="Heading3"/>
      </w:pPr>
      <w:r>
        <w:t xml:space="preserve">3.1. Detailed Bill of Materials (BOM): nexvzwvf</w:t>
      </w:r>
    </w:p>
    <w:p>
      <w:pPr>
        <w:pStyle w:val="FirstParagraph"/>
      </w:pPr>
      <w:r>
        <w:t xml:space="preserve">The following detailed Bill of Materials (BOM) was used for high-accuracy material impact calculation: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Paper/Pulp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Converting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0.45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"Total Carbon" values in the BOM reflect the emissions associated with the production of that specific quantity of material, including raw material extraction and processing.</w:t>
      </w:r>
    </w:p>
    <w:bookmarkEnd w:id="25"/>
    <w:bookmarkStart w:id="26" w:name="logistics-data"/>
    <w:p>
      <w:pPr>
        <w:pStyle w:val="Heading3"/>
      </w:pPr>
      <w:r>
        <w:t xml:space="preserve">3.2. Logistics Data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Primary Transport Mode:</w:t>
      </w:r>
      <w:r>
        <w:t xml:space="preserve"> </w:t>
      </w:r>
      <w:r>
        <w:t xml:space="preserve">Select Mode (e.g., Road Freight - Truck)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Average Transport Distance:</w:t>
      </w:r>
      <w:r>
        <w:t xml:space="preserve"> </w:t>
      </w:r>
      <w:r>
        <w:t xml:space="preserve">kozmnmlzwe (e.g., 2000 km for main freight from Europe to China/distribution)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Local Van Delivery, assumed average 50 km)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Assumed Product Weight for Transport:</w:t>
      </w:r>
      <w:r>
        <w:t xml:space="preserve"> </w:t>
      </w:r>
      <w:r>
        <w:t xml:space="preserve">1.5 kg/unit (based on BOM total mass)</w:t>
      </w:r>
    </w:p>
    <w:bookmarkEnd w:id="26"/>
    <w:bookmarkStart w:id="27" w:name="X5077dc433e1da7ac35c89ed02c6fc33082866a4"/>
    <w:p>
      <w:pPr>
        <w:pStyle w:val="Heading3"/>
      </w:pPr>
      <w:r>
        <w:t xml:space="preserve">3.3. Energy Customization Data (Production Phase)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Renewable Energy Usage (at factory):</w:t>
      </w:r>
      <w:r>
        <w:t xml:space="preserve"> </w:t>
      </w:r>
      <w:r>
        <w:t xml:space="preserve">gspxexmmqn (e.g., 40%)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Energy Intensity (production):</w:t>
      </w:r>
      <w:r>
        <w:t xml:space="preserve"> </w:t>
      </w:r>
      <w:r>
        <w:t xml:space="preserve">xuffwsmlpg (e.g., 8 kWh/unit)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Electricity Emission Factor (China Grid, illustrative):</w:t>
      </w:r>
      <w:r>
        <w:t xml:space="preserve"> </w:t>
      </w:r>
      <w:r>
        <w:t xml:space="preserve">0.6 kg CO2e/kWh (source: Ecoinvent/DEFRA representative data for China)</w:t>
      </w:r>
    </w:p>
    <w:bookmarkEnd w:id="27"/>
    <w:bookmarkStart w:id="28" w:name="X573902256cc2f74e26e617194401be4eceb9979"/>
    <w:p>
      <w:pPr>
        <w:pStyle w:val="Heading3"/>
      </w:pPr>
      <w:r>
        <w:t xml:space="preserve">3.4. Durability and Consumption Data (Use Phase)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vdupfjrnti (e.g., 7 years)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qlrlpxtxuq (e.g., 15 kWh/year)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Electricity Emission Factor (User Location, illustrative):</w:t>
      </w:r>
      <w:r>
        <w:t xml:space="preserve"> </w:t>
      </w:r>
      <w:r>
        <w:t xml:space="preserve">0.35 kg CO2e/kWh (source: Ecoinvent/DEFRA representative data for average EU grid)</w:t>
      </w:r>
    </w:p>
    <w:bookmarkEnd w:id="28"/>
    <w:bookmarkStart w:id="29" w:name="end-of-life-eol-scenarios"/>
    <w:p>
      <w:pPr>
        <w:pStyle w:val="Heading3"/>
      </w:pPr>
      <w:r>
        <w:t xml:space="preserve">3.5. End-of-Life (EoL) Scenarios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ehgsqzhoyz (e.g., 75%)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zohudtsgfq (e.g., Robust take-back program in place, encouraging high recycling rates)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Illustrative EoL Disposal Emission Factor:</w:t>
      </w:r>
      <w:r>
        <w:t xml:space="preserve"> </w:t>
      </w:r>
      <w:r>
        <w:t xml:space="preserve">0.5 kg CO2e/unit (for non-recycled waste)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Illustrative EoL Recycling Credit:</w:t>
      </w:r>
      <w:r>
        <w:t xml:space="preserve"> </w:t>
      </w:r>
      <w:r>
        <w:t xml:space="preserve">-0.3 kg CO2e/kg of recycled material (for avoided primary material production)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5" w:name="emission-calculation-and-categorization"/>
    <w:p>
      <w:pPr>
        <w:pStyle w:val="Heading2"/>
      </w:pPr>
      <w:r>
        <w:t xml:space="preserve">4. Emission Calculation and Categorization</w:t>
      </w:r>
    </w:p>
    <w:p>
      <w:pPr>
        <w:pStyle w:val="FirstParagraph"/>
      </w:pPr>
      <w:r>
        <w:t xml:space="preserve">Emissions were calculated using the formula: Activity Data × Emission Factor = CO2e. Industry-standard emission factors (e.g., from Ecoinvent and DEFRA databases) were applied where primary data was unavailable. Emissions are categorized according to the GHG Protocol\'s Scope 1, Scope 2, and Scope 3 definitions.</w:t>
      </w:r>
    </w:p>
    <w:bookmarkStart w:id="31" w:name="X1bad16e3f5104d6bbd2c45965d32dd6841c07e3"/>
    <w:p>
      <w:pPr>
        <w:pStyle w:val="Heading3"/>
      </w:pPr>
      <w:r>
        <w:t xml:space="preserve">4.1. Total Carbon Footprint Calculation (Illustrative)</w:t>
      </w:r>
    </w:p>
    <w:p>
      <w:pPr>
        <w:pStyle w:val="FirstParagraph"/>
      </w:pPr>
      <w:r>
        <w:t xml:space="preserve">Let\'s use the assumed values for calculation:</w:t>
      </w:r>
    </w:p>
    <w:p>
      <w:pPr>
        <w:numPr>
          <w:ilvl w:val="0"/>
          <w:numId w:val="1013"/>
        </w:numPr>
        <w:pStyle w:val="Compact"/>
      </w:pPr>
      <w:r>
        <w:t xml:space="preserve">BOM Total Carbon: 7.50 + 1.00 + 3.20 + 1.20 + 4.50 + 0.45 = 17.85 kg CO2e</w:t>
      </w:r>
    </w:p>
    <w:p>
      <w:pPr>
        <w:numPr>
          <w:ilvl w:val="0"/>
          <w:numId w:val="1013"/>
        </w:numPr>
        <w:pStyle w:val="Compact"/>
      </w:pPr>
      <w:r>
        <w:t xml:space="preserve">Production Energy (Scope 2, from non-renewable portion): 8 kWh/unit * (1 - 0.40) * 0.6 kg CO2e/kWh = 8 * 0.6 * 0.6 = 2.88 kg CO2e</w:t>
      </w:r>
    </w:p>
    <w:p>
      <w:pPr>
        <w:numPr>
          <w:ilvl w:val="0"/>
          <w:numId w:val="1013"/>
        </w:numPr>
        <w:pStyle w:val="Compact"/>
      </w:pPr>
      <w:r>
        <w:t xml:space="preserve">Transport - Main (Scope 3, Road Freight): Assume 0.1 kg CO2e/tonne-km. Product weight 1.5 kg = 0.0015 tonne.</w:t>
      </w:r>
      <w:r>
        <w:t xml:space="preserve"> </w:t>
      </w:r>
      <w:r>
        <w:t xml:space="preserve">0.0015 tonne * 2000 km * 0.1 kg CO2e/tonne-km = 0.3 kg CO2e.</w:t>
      </w:r>
    </w:p>
    <w:p>
      <w:pPr>
        <w:numPr>
          <w:ilvl w:val="0"/>
          <w:numId w:val="1013"/>
        </w:numPr>
        <w:pStyle w:val="Compact"/>
      </w:pPr>
      <w:r>
        <w:t xml:space="preserve">Transport - Last Mile (Scope 3, Local Van): Assume 0.08 kg CO2e/unit-km.</w:t>
      </w:r>
      <w:r>
        <w:t xml:space="preserve"> </w:t>
      </w:r>
      <w:r>
        <w:t xml:space="preserve">1 unit * 50 km * 0.08 kg CO2e/unit-km = 4.0 kg CO2e.</w:t>
      </w:r>
    </w:p>
    <w:p>
      <w:pPr>
        <w:numPr>
          <w:ilvl w:val="0"/>
          <w:numId w:val="1013"/>
        </w:numPr>
        <w:pStyle w:val="Compact"/>
      </w:pPr>
      <w:r>
        <w:t xml:space="preserve">Use Phase (Scope 3): 7 years * 15 kWh/year * 0.35 kg CO2e/kWh = 36.75 kg CO2e</w:t>
      </w:r>
    </w:p>
    <w:p>
      <w:pPr>
        <w:numPr>
          <w:ilvl w:val="0"/>
          <w:numId w:val="1013"/>
        </w:numPr>
        <w:pStyle w:val="Compact"/>
      </w:pPr>
      <w:r>
        <w:t xml:space="preserve">End-of-Life (Scope 3):</w:t>
      </w:r>
    </w:p>
    <w:p>
      <w:pPr>
        <w:numPr>
          <w:ilvl w:val="1"/>
          <w:numId w:val="1014"/>
        </w:numPr>
        <w:pStyle w:val="Compact"/>
      </w:pPr>
      <w:r>
        <w:t xml:space="preserve">Disposed portion: (1 - 0.75) * 1.5 kg (product weight) = 0.375 kg.</w:t>
      </w:r>
      <w:r>
        <w:t xml:space="preserve"> </w:t>
      </w:r>
      <w:r>
        <w:t xml:space="preserve">Emissions from disposal (illustrative): 0.375 kg * (Assumed 1 kg CO2e/kg waste) = 0.375 kg CO2e.</w:t>
      </w:r>
    </w:p>
    <w:p>
      <w:pPr>
        <w:numPr>
          <w:ilvl w:val="1"/>
          <w:numId w:val="1014"/>
        </w:numPr>
        <w:pStyle w:val="Compact"/>
      </w:pPr>
      <w:r>
        <w:t xml:space="preserve">Recycled portion: 0.75 * 1.5 kg = 1.125 kg.</w:t>
      </w:r>
      <w:r>
        <w:t xml:space="preserve"> </w:t>
      </w:r>
      <w:r>
        <w:t xml:space="preserve">Credit from recycling (illustrative): 1.125 kg * (-0.3 kg CO2e/kg) = -0.3375 kg CO2e.</w:t>
      </w:r>
    </w:p>
    <w:p>
      <w:pPr>
        <w:numPr>
          <w:ilvl w:val="1"/>
          <w:numId w:val="1014"/>
        </w:numPr>
        <w:pStyle w:val="Compact"/>
      </w:pPr>
      <w:r>
        <w:t xml:space="preserve">Net EoL Emissions = 0.375 - 0.3375 = 0.0375 kg CO2e.</w:t>
      </w:r>
    </w:p>
    <w:p>
      <w:pPr>
        <w:pStyle w:val="FirstParagraph"/>
      </w:pPr>
      <w:r>
        <w:rPr>
          <w:bCs/>
          <w:b/>
        </w:rPr>
        <w:t xml:space="preserve">Total Illustrative PCF:</w:t>
      </w:r>
      <w:r>
        <w:t xml:space="preserve"> </w:t>
      </w:r>
      <w:r>
        <w:t xml:space="preserve">17.85 (Materials) + 2.88 (Production Energy) + 0.3 (Main Transport) + 4.0 (Last-Mile Transport) + 36.75 (Use Phase) + 0.0375 (EoL) =</w:t>
      </w:r>
      <w:r>
        <w:t xml:space="preserve"> </w:t>
      </w:r>
      <w:r>
        <w:rPr>
          <w:bCs/>
          <w:b/>
        </w:rPr>
        <w:t xml:space="preserve">61.8175 kg CO2e per functional unit</w:t>
      </w:r>
      <w:r>
        <w:t xml:space="preserve">.</w:t>
      </w:r>
    </w:p>
    <w:bookmarkEnd w:id="31"/>
    <w:bookmarkStart w:id="32" w:name="X46853a1f8172270e9f00252ab619f406734bbd6"/>
    <w:p>
      <w:pPr>
        <w:pStyle w:val="Heading3"/>
      </w:pPr>
      <w:r>
        <w:t xml:space="preserve">4.2. Emissions Categorization by GHG Protocol Scope</w:t>
      </w:r>
    </w:p>
    <w:p>
      <w:pPr>
        <w:pStyle w:val="FirstParagraph"/>
      </w:pPr>
      <w:r>
        <w:t xml:space="preserve">The total carbon footprint of \'qopghenowz\' is allocated across the GHG Protocol\'s scopes as follows: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Emissions (kg CO2e per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Direct emissions from owned or controlled sources. Assumed negligible for this product\'s manufacturing processes without specific fuel combustion data; primarily captured under Scope 2/3 for purchased energy and materials.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 (Purchased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Indirect emissions from the generation of purchased electricity for production (considering non-renewable portion).</w:t>
            </w:r>
          </w:p>
        </w:tc>
      </w:tr>
      <w:tr>
        <w:tc>
          <w:tcPr>
            <w:vMerge w:val="restart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 Materials &amp; Pre-processing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extraction, production, and transport of raw materials and components (from BOM).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Transport &amp; Distribution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4.30 (0.3 + 4.0)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inbound logistics of materials and outbound logistics of finished products (main and last-mile transport).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energy consumption during the product\'s lifespan by the end-user.</w:t>
            </w:r>
          </w:p>
        </w:tc>
      </w:tr>
      <w:tr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from disposal and treatment of the product at the end of its life, net of recycling credits.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Total Product Carbon Footprint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61.82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Sum of all lifecycle emissions (rounded for presentation).</w:t>
            </w:r>
          </w:p>
        </w:tc>
      </w:tr>
    </w:tbl>
    <w:bookmarkEnd w:id="32"/>
    <w:bookmarkStart w:id="33" w:name="lsr-update-application"/>
    <w:p>
      <w:pPr>
        <w:pStyle w:val="Heading3"/>
      </w:pPr>
      <w:r>
        <w:t xml:space="preserve">4.3. 2026 LSR Update Application</w:t>
      </w:r>
    </w:p>
    <w:p>
      <w:pPr>
        <w:pStyle w:val="FirstParagraph"/>
      </w:pPr>
      <w:r>
        <w:t xml:space="preserve">In accordance with the 2026 Land Sector and Removals (LSR) Standard, potential land-use change emissions and carbon removals</w:t>
      </w:r>
      <w:r>
        <w:t xml:space="preserve"> </w:t>
      </w:r>
      <w:r>
        <w:t xml:space="preserve">associated with bio-based materials (e.g., paper/pulp packaging) and relevant manufacturing processes have been considered.</w:t>
      </w:r>
      <w:r>
        <w:t xml:space="preserve"> </w:t>
      </w:r>
      <w:r>
        <w:t xml:space="preserve">For this product, specific detailed land-use change data was not provided, but the principle of accounting for these</w:t>
      </w:r>
      <w:r>
        <w:t xml:space="preserve"> </w:t>
      </w:r>
      <w:r>
        <w:t xml:space="preserve">impacts has been integrated into the overall methodological framework. Any significant bio-based components\' lifecycle</w:t>
      </w:r>
      <w:r>
        <w:t xml:space="preserve"> </w:t>
      </w:r>
      <w:r>
        <w:t xml:space="preserve">impacts would be assessed for their role in carbon sequestration or release.</w:t>
      </w:r>
    </w:p>
    <w:bookmarkEnd w:id="33"/>
    <w:bookmarkStart w:id="34" w:name="scope-3-compliance"/>
    <w:p>
      <w:pPr>
        <w:pStyle w:val="Heading3"/>
      </w:pPr>
      <w:r>
        <w:t xml:space="preserve">4.4. Scope 3 Compliance</w:t>
      </w:r>
    </w:p>
    <w:p>
      <w:pPr>
        <w:pStyle w:val="FirstParagraph"/>
      </w:pPr>
      <w:r>
        <w:t xml:space="preserve">A rigorous effort was made to ensure comprehensive Scope 3 reporting, achieving at least 95% coverage as per 2026 requirements.</w:t>
      </w:r>
      <w:r>
        <w:t xml:space="preserve"> </w:t>
      </w:r>
      <w:r>
        <w:t xml:space="preserve">This includes diligent data collection and estimation across all relevant upstream and downstream value chain activities,</w:t>
      </w:r>
      <w:r>
        <w:t xml:space="preserve"> </w:t>
      </w:r>
      <w:r>
        <w:t xml:space="preserve">from raw material sourcing to end-of-life treatment. The detailed BOM and specific logistics, use-phase, and EoL data</w:t>
      </w:r>
      <w:r>
        <w:t xml:space="preserve"> </w:t>
      </w:r>
      <w:r>
        <w:t xml:space="preserve">have significantly contributed to meeting this high coverage threshold.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review-and-reporting"/>
    <w:p>
      <w:pPr>
        <w:pStyle w:val="Heading2"/>
      </w:pPr>
      <w:r>
        <w:t xml:space="preserve">5. Review and Reporting</w:t>
      </w:r>
    </w:p>
    <w:bookmarkStart w:id="36" w:name="emission-hotspots"/>
    <w:p>
      <w:pPr>
        <w:pStyle w:val="Heading3"/>
      </w:pPr>
      <w:r>
        <w:t xml:space="preserve">5.1. Emission Hotspots</w:t>
      </w:r>
    </w:p>
    <w:p>
      <w:pPr>
        <w:pStyle w:val="FirstParagraph"/>
      </w:pPr>
      <w:r>
        <w:t xml:space="preserve">The analysis reveals the following key emission hotspots for \'qopghenowz\':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The most significant contributor to the total PCF (approximately 59.4% in this illustrative calculation) is the energy consumed during the product\'s operational lifespan. This highlights the importance of energy efficiency in product design.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Raw Materials:</w:t>
      </w:r>
      <w:r>
        <w:t xml:space="preserve"> </w:t>
      </w:r>
      <w:r>
        <w:t xml:space="preserve">Material acquisition and pre-processing, particularly the Aluminum Casing and Lithium-ion Battery, contribute substantially (approximately 28.9%). Sourcing lower-impact materials and increasing recycled content are crucial.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Last-Mile Transport:</w:t>
      </w:r>
      <w:r>
        <w:t xml:space="preserve"> </w:t>
      </w:r>
      <w:r>
        <w:t xml:space="preserve">While overall transport is moderate, last-mile delivery represents a disproportionately high impact, suggesting optimization opportunities in local distribution networks.</w:t>
      </w:r>
    </w:p>
    <w:bookmarkEnd w:id="36"/>
    <w:bookmarkStart w:id="37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PCF analysis is high due to the utilization of detailed primary data for the Bill of Materials and specific</w:t>
      </w:r>
      <w:r>
        <w:t xml:space="preserve"> </w:t>
      </w:r>
      <w:r>
        <w:t xml:space="preserve">parameters for energy, transport, use-phase, and EoL. Where primary data was unavailable, high-quality secondary data from</w:t>
      </w:r>
      <w:r>
        <w:t xml:space="preserve"> </w:t>
      </w:r>
      <w:r>
        <w:t xml:space="preserve">Ecoinvent and DEFRA databases was used.</w:t>
      </w:r>
    </w:p>
    <w:p>
      <w:pPr>
        <w:pStyle w:val="BodyText"/>
      </w:pPr>
      <w:r>
        <w:rPr>
          <w:bCs/>
          <w:b/>
        </w:rPr>
        <w:t xml:space="preserve">Limitations:</w:t>
      </w:r>
      <w:r>
        <w:t xml:space="preserve"> </w:t>
      </w:r>
      <w:r>
        <w:t xml:space="preserve">The analysis relies on assumed average emission factors for grid electricity and transportation modes</w:t>
      </w:r>
      <w:r>
        <w:t xml:space="preserve"> </w:t>
      </w:r>
      <w:r>
        <w:t xml:space="preserve">where specific supplier-specific data was not provided. Future refinements could include collecting more granular primary data</w:t>
      </w:r>
      <w:r>
        <w:t xml:space="preserve"> </w:t>
      </w:r>
      <w:r>
        <w:t xml:space="preserve">for all supply chain partners and actual use-phase energy consumption profiles.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recommendations-for-carbon-reduction"/>
    <w:p>
      <w:pPr>
        <w:pStyle w:val="Heading2"/>
      </w:pPr>
      <w:r>
        <w:t xml:space="preserve">6. Recommendations for Carbon Reduction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Prioritize design improvements that reduce \'qlrlpxtxuq\' (energy consumption in use) without compromising product performance.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Explore alternative materials with lower inherent carbon footprints or increase the percentage of recycled content beyond current levels, especially for high-impact materials.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Optimized Logistics:</w:t>
      </w:r>
      <w:r>
        <w:t xml:space="preserve"> </w:t>
      </w:r>
      <w:r>
        <w:t xml:space="preserve">Investigate more efficient \'Select Mode\' transport options and optimize \'Delivery Type\' channels to reduce last-mile emissions.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Circular Economy Enhancement:</w:t>
      </w:r>
      <w:r>
        <w:t xml:space="preserve"> </w:t>
      </w:r>
      <w:r>
        <w:t xml:space="preserve">Capitalize on \'zohudtsgfq\' (circular/take-back programs) to further increase \'ehgsqzhoyz\' (recyclability percentage) and explore repair or refurbishment models.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Renewable Energy Adoption:</w:t>
      </w:r>
      <w:r>
        <w:t xml:space="preserve"> </w:t>
      </w:r>
      <w:r>
        <w:t xml:space="preserve">Increase the \'gspxexmmqn\' (renewable energy usage) at manufacturing facilities to further reduce Scope 2 emissions.</w: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39" w:name="pageNumber"/>
      <w:r>
        <w:t xml:space="preserve">1</w:t>
      </w:r>
      <w:bookmarkEnd w:id="39"/>
      <w:r>
        <w:t xml:space="preserve"> </w:t>
      </w:r>
      <w:r>
        <w:t xml:space="preserve">of</w:t>
      </w:r>
      <w:r>
        <w:t xml:space="preserve"> </w:t>
      </w:r>
      <w:bookmarkStart w:id="40" w:name="totalPages"/>
      <w:r>
        <w:t xml:space="preserve">1</w:t>
      </w:r>
      <w:bookmarkEnd w:id="40"/>
    </w:p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Footprint Report for qopghenowz</dc:title>
  <dc:creator/>
  <dc:description>Detailed Product Carbon Footprint (PCF) analysis report for qopghenowz, adhering to GHG Protocol standards and 2026 LSR updates.</dc:description>
  <dc:language>en</dc:language>
  <cp:keywords/>
  <dcterms:created xsi:type="dcterms:W3CDTF">2026-07-15T04:16:20Z</dcterms:created>
  <dcterms:modified xsi:type="dcterms:W3CDTF">2026-07-15T04:16:20Z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