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qlkexopvpg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qlkexopvpg</w:t>
      </w:r>
    </w:p>
    <w:p>
      <w:pPr>
        <w:pStyle w:val="BodyText"/>
      </w:pPr>
      <w:r>
        <w:rPr>
          <w:bCs/>
          <w:b/>
        </w:rPr>
        <w:t xml:space="preserve">Company:</w:t>
      </w:r>
      <w:r>
        <w:t xml:space="preserve"> </w:t>
      </w:r>
      <w:r>
        <w:t xml:space="preserve">pvephkorlw</w:t>
      </w:r>
    </w:p>
    <w:p>
      <w:pPr>
        <w:pStyle w:val="BodyText"/>
      </w:pPr>
      <w:r>
        <w:rPr>
          <w:bCs/>
          <w:b/>
        </w:rPr>
        <w:t xml:space="preserve">Senior Sustainability Consultant:</w:t>
      </w:r>
      <w:r>
        <w:t xml:space="preserve"> </w:t>
      </w:r>
      <w:r>
        <w:t xml:space="preserve">drdhqphqvo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specified parameters, and industry standards. While efforts have been made to ensure accuracy, the actual environmental impact may vary based on real-world conditions and specific data availability.</w:t>
      </w:r>
    </w:p>
    <w:bookmarkEnd w:id="20"/>
    <w:p>
      <w:pPr>
        <w:pStyle w:val="BodyText"/>
      </w:pPr>
      <w:r>
        <w:t xml:space="preserve">Generated Date: May 23, 2026</w:t>
      </w:r>
    </w:p>
    <w:bookmarkStart w:id="44" w:name="X1d1a82957288fc2bd3000aea963769f6f8e6f7a"/>
    <w:p>
      <w:pPr>
        <w:pStyle w:val="Heading1"/>
      </w:pPr>
      <w:r>
        <w:t xml:space="preserve">Product Carbon Footprint Analysis for qlkexopvpg</w:t>
      </w:r>
    </w:p>
    <w:p>
      <w:pPr>
        <w:pStyle w:val="FirstParagraph"/>
      </w:pPr>
      <w:r>
        <w:t xml:space="preserve">Conducted by drdhqphqvo, Senior Sustainability Consultant, for pvephkorlw.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qlkexopvpg</w:t>
      </w:r>
      <w:r>
        <w:t xml:space="preserve"> </w:t>
      </w:r>
      <w:r>
        <w:t xml:space="preserve">manufactured by</w:t>
      </w:r>
      <w:r>
        <w:t xml:space="preserve"> </w:t>
      </w:r>
      <w:r>
        <w:rPr>
          <w:bCs/>
          <w:b/>
        </w:rPr>
        <w:t xml:space="preserve">pvephkorlw</w:t>
      </w:r>
      <w:r>
        <w:t xml:space="preserve">. The analysis follows the Greenhouse Gas (GHG) Protocol standards, incorporating the 2026 Land Sector and Removals (LSR) Standard updates and aiming for over 95% Scope 3 coverage. The PCF quantifies the total greenhouse gas emissions associated with the product\'s entire lifecycle, from raw material extraction to end-of-life, utilizing specific data for materials, production energy, logistics, and end-of-life scenarios. This detailed assessment aims to identify emission hotspots and provide actionable insights for sustainability improvements.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qlkexopvpg.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assessment covers all lifecycle stages from "cradle-to-gate," encompassing raw material acquisition, manufacturing, and transport up to the final production facility\'s gate. For this report, we\'ve expanded beyond strict "gate" to include downstream transport, use phase, and end-of-life to provide a more comprehensive "cradle-to-grave" perspective as per specific parameters provided, while categorizing emissions appropriately within GHG Protocol Scopes.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raw materials and components are sourced from or transported through Europe before reaching the final production in China.</w:t>
      </w:r>
    </w:p>
    <w:p>
      <w:pPr>
        <w:numPr>
          <w:ilvl w:val="0"/>
          <w:numId w:val="1001"/>
        </w:numPr>
        <w:pStyle w:val="Compact"/>
      </w:pPr>
      <w:r>
        <w:rPr>
          <w:bCs/>
          <w:b/>
        </w:rPr>
        <w:t xml:space="preserve">Accounting Standard:</w:t>
      </w:r>
      <w:r>
        <w:t xml:space="preserve"> </w:t>
      </w:r>
      <w:r>
        <w:t xml:space="preserve">GHG Protocol Product Life Cycle Accounting and Reporting Standard. This provides a robust framework for quantifying and reporting GHG emissions associated with products. This report also incorporates guidance from the upcoming 2026 Land Sector and Removals (LSR) Standard.</w:t>
      </w:r>
    </w:p>
    <w:p>
      <w:pPr>
        <w:numPr>
          <w:ilvl w:val="0"/>
          <w:numId w:val="1001"/>
        </w:numPr>
        <w:pStyle w:val="Compact"/>
      </w:pPr>
      <w:r>
        <w:rPr>
          <w:bCs/>
          <w:b/>
        </w:rPr>
        <w:t xml:space="preserve">Allocation:</w:t>
      </w:r>
      <w:r>
        <w:t xml:space="preserve"> </w:t>
      </w:r>
      <w:r>
        <w:t xml:space="preserve">All emissions are allocated to the functional unit (1.0 unit of qlkexopvpg) as it is assumed to be the sole primary product of the defined system. No co-products or by-products requiring complex allocation are considered within this framework.</w:t>
      </w:r>
    </w:p>
    <w:p>
      <w:r>
        <w:pict>
          <v:rect style="width:0;height:1.5pt" o:hralign="center" o:hrstd="t" o:hr="t"/>
        </w:pict>
      </w:r>
    </w:p>
    <w:bookmarkEnd w:id="22"/>
    <w:bookmarkStart w:id="29" w:name="Xf9aefb2ea8883b9018cac308e12ad149b847e49"/>
    <w:p>
      <w:pPr>
        <w:pStyle w:val="Heading2"/>
      </w:pPr>
      <w:r>
        <w:t xml:space="preserve">2. &amp; 3. Lifecycle Mapping &amp; Data Collection (LCI Inventory)</w:t>
      </w:r>
    </w:p>
    <w:p>
      <w:pPr>
        <w:pStyle w:val="FirstParagraph"/>
      </w:pPr>
      <w:r>
        <w:t xml:space="preserve">This section details the various lifecycle stages of the qlkexopvpg product and the primary and secondary data points collected for the Life Cycle Inventory (LCI). Emissions are categorized according to the GHG Protocol as Scope 1 (Direct Emissions), Scope 2 (Energy Indirect Emissions), and Scope 3 (Other Indirect Emissions from the Value Chain).</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w:t>
      </w:r>
      <w:r>
        <w:t xml:space="preserve"> </w:t>
      </w:r>
      <w:r>
        <w:rPr>
          <w:bCs/>
          <w:b/>
        </w:rPr>
        <w:t xml:space="preserve">qlkexopvpg</w:t>
      </w:r>
      <w:r>
        <w:t xml:space="preserve"> </w:t>
      </w:r>
      <w:r>
        <w:t xml:space="preserve">was provided as</w:t>
      </w:r>
      <w:r>
        <w:t xml:space="preserve"> </w:t>
      </w:r>
      <w:r>
        <w:rPr>
          <w:bCs/>
          <w:b/>
        </w:rPr>
        <w:t xml:space="preserve">yqjrdonx</w:t>
      </w:r>
      <w:r>
        <w:t xml:space="preserve">. For the purpose of calculation, a representative BOM based on the specified format (ID, Description, Category, Process, Qty, Unit, Emission Factor, Total Carbon) is used. Emission factors for materials are sourced from industry-standard databases (e.g., Ecoinvent, DEFRA) and are illustrative for this analysis. The total carbon for each item, as per the specified format, is directly used in the calculation.</w:t>
      </w:r>
    </w:p>
    <w:bookmarkStart w:id="23" w:name="detailed-bill-of-materials-bom"/>
    <w:p>
      <w:pPr>
        <w:pStyle w:val="Heading4"/>
      </w:pPr>
      <w:r>
        <w:t xml:space="preserve">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&amp;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M2</w:t>
            </w:r>
          </w:p>
        </w:tc>
        <w:tc>
          <w:tcPr/>
          <w:p>
            <w:pPr>
              <w:pStyle w:val="Compact"/>
              <w:jc w:val="left"/>
            </w:pPr>
            <w:r>
              <w:t xml:space="preserve">Recycled ABS Plastic Pellets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1.5</w:t>
            </w:r>
          </w:p>
        </w:tc>
        <w:tc>
          <w:tcPr/>
          <w:p>
            <w:pPr>
              <w:pStyle w:val="Compact"/>
              <w:jc w:val="left"/>
            </w:pPr>
            <w:r>
              <w:t xml:space="preserve">0.6</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M4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Cell Production &amp;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3"/>
    <w:bookmarkEnd w:id="24"/>
    <w:bookmarkStart w:id="25" w:name="manufacturing-assembly-scope-1-scope-2"/>
    <w:p>
      <w:pPr>
        <w:pStyle w:val="Heading3"/>
      </w:pPr>
      <w:r>
        <w:t xml:space="preserve">2.2. Manufacturing &amp; Assembly (Scope 1 &amp; Scope 2)</w:t>
      </w:r>
    </w:p>
    <w:p>
      <w:pPr>
        <w:pStyle w:val="FirstParagraph"/>
      </w:pPr>
      <w:r>
        <w:t xml:space="preserve">The production of qlkexopvpg occurs in China. Energy consumption for the manufacturing process is a key input.</w:t>
      </w:r>
    </w:p>
    <w:p>
      <w:pPr>
        <w:numPr>
          <w:ilvl w:val="0"/>
          <w:numId w:val="1003"/>
        </w:numPr>
        <w:pStyle w:val="Compact"/>
      </w:pPr>
      <w:r>
        <w:rPr>
          <w:bCs/>
          <w:b/>
        </w:rPr>
        <w:t xml:space="preserve">Energy Intensity (kWh/unit):</w:t>
      </w:r>
      <w:r>
        <w:t xml:space="preserve"> </w:t>
      </w:r>
      <w:r>
        <w:t xml:space="preserve">The specified energy intensity is</w:t>
      </w:r>
      <w:r>
        <w:t xml:space="preserve"> </w:t>
      </w:r>
      <w:r>
        <w:rPr>
          <w:bCs/>
          <w:b/>
        </w:rPr>
        <w:t xml:space="preserve">nfuslvokiq</w:t>
      </w:r>
      <w:r>
        <w:t xml:space="preserve"> </w:t>
      </w:r>
      <w:r>
        <w:t xml:space="preserve">(e.g., 15 kWh/unit).</w:t>
      </w:r>
    </w:p>
    <w:p>
      <w:pPr>
        <w:numPr>
          <w:ilvl w:val="0"/>
          <w:numId w:val="1003"/>
        </w:numPr>
        <w:pStyle w:val="Compact"/>
      </w:pPr>
      <w:r>
        <w:rPr>
          <w:bCs/>
          <w:b/>
        </w:rPr>
        <w:t xml:space="preserve">Renewable Energy Usage:</w:t>
      </w:r>
      <w:r>
        <w:t xml:space="preserve"> </w:t>
      </w:r>
      <w:r>
        <w:rPr>
          <w:bCs/>
          <w:b/>
        </w:rPr>
        <w:t xml:space="preserve">mrusxlmpqo</w:t>
      </w:r>
      <w:r>
        <w:t xml:space="preserve"> </w:t>
      </w:r>
      <w:r>
        <w:t xml:space="preserve">(e.g., 70%). This percentage of electricity is assumed to be sourced from renewable energy, leading to lower Scope 2 emissions for that portion.</w:t>
      </w:r>
    </w:p>
    <w:p>
      <w:pPr>
        <w:numPr>
          <w:ilvl w:val="0"/>
          <w:numId w:val="1003"/>
        </w:numPr>
        <w:pStyle w:val="Compact"/>
      </w:pPr>
      <w:r>
        <w:rPr>
          <w:bCs/>
          <w:b/>
        </w:rPr>
        <w:t xml:space="preserve">Non-renewable Electricity:</w:t>
      </w:r>
      <w:r>
        <w:t xml:space="preserve"> </w:t>
      </w:r>
      <w:r>
        <w:t xml:space="preserve">(1 - mrusxlmpqo) * nfuslvokiq.</w:t>
      </w:r>
    </w:p>
    <w:p>
      <w:pPr>
        <w:numPr>
          <w:ilvl w:val="0"/>
          <w:numId w:val="1003"/>
        </w:numPr>
        <w:pStyle w:val="Compact"/>
      </w:pPr>
      <w:r>
        <w:rPr>
          <w:bCs/>
          <w:b/>
        </w:rPr>
        <w:t xml:space="preserve">Direct Emissions (Scope 1):</w:t>
      </w:r>
      <w:r>
        <w:t xml:space="preserve"> </w:t>
      </w:r>
      <w:r>
        <w:t xml:space="preserve">No specific direct fuel combustion data was provided. For this analysis, Scope 1 emissions from manufacturing are considered negligible or integrated into electricity generation if off-site.</w:t>
      </w:r>
    </w:p>
    <w:bookmarkEnd w:id="25"/>
    <w:bookmarkStart w:id="26"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w:t>
      </w:r>
    </w:p>
    <w:p>
      <w:pPr>
        <w:numPr>
          <w:ilvl w:val="0"/>
          <w:numId w:val="1004"/>
        </w:numPr>
        <w:pStyle w:val="Compact"/>
      </w:pPr>
      <w:r>
        <w:rPr>
          <w:bCs/>
          <w:b/>
        </w:rPr>
        <w:t xml:space="preserve">Upstream Transport (Materials):</w:t>
      </w:r>
      <w:r>
        <w:t xml:space="preserve"> </w:t>
      </w:r>
      <w:r>
        <w:t xml:space="preserve">Estimated average transport for raw materials and components from Europe to China.</w:t>
      </w:r>
    </w:p>
    <w:p>
      <w:pPr>
        <w:numPr>
          <w:ilvl w:val="1"/>
          <w:numId w:val="1005"/>
        </w:numPr>
        <w:pStyle w:val="Compact"/>
      </w:pPr>
      <w:r>
        <w:rPr>
          <w:bCs/>
          <w:b/>
        </w:rPr>
        <w:t xml:space="preserve">Mode:</w:t>
      </w:r>
      <w:r>
        <w:t xml:space="preserve"> </w:t>
      </w:r>
      <w:r>
        <w:t xml:space="preserve">Ocean Freight (for bulk) and Truck (for regional European collection).</w:t>
      </w:r>
    </w:p>
    <w:p>
      <w:pPr>
        <w:numPr>
          <w:ilvl w:val="1"/>
          <w:numId w:val="1005"/>
        </w:numPr>
        <w:pStyle w:val="Compact"/>
      </w:pPr>
      <w:r>
        <w:rPr>
          <w:bCs/>
          <w:b/>
        </w:rPr>
        <w:t xml:space="preserve">Distance:</w:t>
      </w:r>
      <w:r>
        <w:t xml:space="preserve"> </w:t>
      </w:r>
      <w:r>
        <w:t xml:space="preserve">Assumed 10,000 km (ocean) + 500 km (truck) for primary components.</w:t>
      </w:r>
    </w:p>
    <w:p>
      <w:pPr>
        <w:numPr>
          <w:ilvl w:val="0"/>
          <w:numId w:val="1004"/>
        </w:numPr>
        <w:pStyle w:val="Compact"/>
      </w:pPr>
      <w:r>
        <w:rPr>
          <w:bCs/>
          <w:b/>
        </w:rPr>
        <w:t xml:space="preserve">Downstream Transport (Product to Customer):</w:t>
      </w:r>
    </w:p>
    <w:p>
      <w:pPr>
        <w:numPr>
          <w:ilvl w:val="1"/>
          <w:numId w:val="1006"/>
        </w:numPr>
        <w:pStyle w:val="Compact"/>
      </w:pPr>
      <w:r>
        <w:rPr>
          <w:bCs/>
          <w:b/>
        </w:rPr>
        <w:t xml:space="preserve">Primary Transport Mode:</w:t>
      </w:r>
      <w:r>
        <w:t xml:space="preserve"> </w:t>
      </w:r>
      <w:r>
        <w:rPr>
          <w:bCs/>
          <w:b/>
        </w:rPr>
        <w:t xml:space="preserve">Select Mode</w:t>
      </w:r>
      <w:r>
        <w:t xml:space="preserve"> </w:t>
      </w:r>
      <w:r>
        <w:t xml:space="preserve">(e.g., Truck).</w:t>
      </w:r>
    </w:p>
    <w:p>
      <w:pPr>
        <w:numPr>
          <w:ilvl w:val="1"/>
          <w:numId w:val="1006"/>
        </w:numPr>
        <w:pStyle w:val="Compact"/>
      </w:pPr>
      <w:r>
        <w:rPr>
          <w:bCs/>
          <w:b/>
        </w:rPr>
        <w:t xml:space="preserve">Transport Distance:</w:t>
      </w:r>
      <w:r>
        <w:t xml:space="preserve"> </w:t>
      </w:r>
      <w:r>
        <w:rPr>
          <w:bCs/>
          <w:b/>
        </w:rPr>
        <w:t xml:space="preserve">oiezehlswx</w:t>
      </w:r>
      <w:r>
        <w:t xml:space="preserve"> </w:t>
      </w:r>
      <w:r>
        <w:t xml:space="preserve">(e.g., 2000 km from China factory to European distribution hub).</w:t>
      </w:r>
    </w:p>
    <w:p>
      <w:pPr>
        <w:numPr>
          <w:ilvl w:val="1"/>
          <w:numId w:val="1006"/>
        </w:numPr>
        <w:pStyle w:val="Compact"/>
      </w:pPr>
      <w:r>
        <w:rPr>
          <w:bCs/>
          <w:b/>
        </w:rPr>
        <w:t xml:space="preserve">Last-Mile Delivery Channel:</w:t>
      </w:r>
      <w:r>
        <w:t xml:space="preserve"> </w:t>
      </w:r>
      <w:r>
        <w:rPr>
          <w:bCs/>
          <w:b/>
        </w:rPr>
        <w:t xml:space="preserve">Delivery Type</w:t>
      </w:r>
      <w:r>
        <w:t xml:space="preserve"> </w:t>
      </w:r>
      <w:r>
        <w:t xml:space="preserve">(e.g., Van Delivery).</w:t>
      </w:r>
    </w:p>
    <w:p>
      <w:pPr>
        <w:numPr>
          <w:ilvl w:val="1"/>
          <w:numId w:val="1006"/>
        </w:numPr>
        <w:pStyle w:val="Compact"/>
      </w:pPr>
      <w:r>
        <w:rPr>
          <w:bCs/>
          <w:b/>
        </w:rPr>
        <w:t xml:space="preserve">Last-Mile Distance:</w:t>
      </w:r>
      <w:r>
        <w:t xml:space="preserve"> </w:t>
      </w:r>
      <w:r>
        <w:t xml:space="preserve">Assumed 100 km per unit.</w:t>
      </w:r>
    </w:p>
    <w:bookmarkEnd w:id="26"/>
    <w:bookmarkStart w:id="27" w:name="product-use-phase-scope-3---downstream"/>
    <w:p>
      <w:pPr>
        <w:pStyle w:val="Heading3"/>
      </w:pPr>
      <w:r>
        <w:t xml:space="preserve">2.4. Product Use Phase (Scope 3 - Downstream)</w:t>
      </w:r>
    </w:p>
    <w:p>
      <w:pPr>
        <w:pStyle w:val="FirstParagraph"/>
      </w:pPr>
      <w:r>
        <w:t xml:space="preserve">The energy consumption during the product\'s operational lifetime significantly contributes to its PCF.</w:t>
      </w:r>
    </w:p>
    <w:p>
      <w:pPr>
        <w:numPr>
          <w:ilvl w:val="0"/>
          <w:numId w:val="1007"/>
        </w:numPr>
        <w:pStyle w:val="Compact"/>
      </w:pPr>
      <w:r>
        <w:rPr>
          <w:bCs/>
          <w:b/>
        </w:rPr>
        <w:t xml:space="preserve">Product Lifespan:</w:t>
      </w:r>
      <w:r>
        <w:t xml:space="preserve"> </w:t>
      </w:r>
      <w:r>
        <w:rPr>
          <w:bCs/>
          <w:b/>
        </w:rPr>
        <w:t xml:space="preserve">wqmtngfumn</w:t>
      </w:r>
      <w:r>
        <w:t xml:space="preserve"> </w:t>
      </w:r>
      <w:r>
        <w:t xml:space="preserve">(e.g., 5 years).</w:t>
      </w:r>
    </w:p>
    <w:p>
      <w:pPr>
        <w:numPr>
          <w:ilvl w:val="0"/>
          <w:numId w:val="1007"/>
        </w:numPr>
        <w:pStyle w:val="Compact"/>
      </w:pPr>
      <w:r>
        <w:rPr>
          <w:bCs/>
          <w:b/>
        </w:rPr>
        <w:t xml:space="preserve">Energy Consumption in Use:</w:t>
      </w:r>
      <w:r>
        <w:t xml:space="preserve"> </w:t>
      </w:r>
      <w:r>
        <w:rPr>
          <w:bCs/>
          <w:b/>
        </w:rPr>
        <w:t xml:space="preserve">jlpfiriooq</w:t>
      </w:r>
      <w:r>
        <w:t xml:space="preserve"> </w:t>
      </w:r>
      <w:r>
        <w:t xml:space="preserve">(e.g., 100 kWh/year).</w:t>
      </w:r>
    </w:p>
    <w:p>
      <w:pPr>
        <w:numPr>
          <w:ilvl w:val="0"/>
          <w:numId w:val="1007"/>
        </w:numPr>
        <w:pStyle w:val="Compact"/>
      </w:pPr>
      <w:r>
        <w:rPr>
          <w:bCs/>
          <w:b/>
        </w:rPr>
        <w:t xml:space="preserve">Total Energy Consumption (Use Phase):</w:t>
      </w:r>
      <w:r>
        <w:t xml:space="preserve"> </w:t>
      </w:r>
      <w:r>
        <w:t xml:space="preserve">Product Lifespan * Energy Consumption in Use.</w:t>
      </w:r>
    </w:p>
    <w:p>
      <w:pPr>
        <w:numPr>
          <w:ilvl w:val="0"/>
          <w:numId w:val="1007"/>
        </w:numPr>
        <w:pStyle w:val="Compact"/>
      </w:pPr>
      <w:r>
        <w:rPr>
          <w:bCs/>
          <w:b/>
        </w:rPr>
        <w:t xml:space="preserve">Emission Factor (Use Phase Electricity):</w:t>
      </w:r>
      <w:r>
        <w:t xml:space="preserve"> </w:t>
      </w:r>
      <w:r>
        <w:t xml:space="preserve">Assumed average European grid mix for consumer usage.</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accounts for disposal, recycling, and any circular economy initiatives.</w:t>
      </w:r>
    </w:p>
    <w:p>
      <w:pPr>
        <w:numPr>
          <w:ilvl w:val="0"/>
          <w:numId w:val="1008"/>
        </w:numPr>
        <w:pStyle w:val="Compact"/>
      </w:pPr>
      <w:r>
        <w:rPr>
          <w:bCs/>
          <w:b/>
        </w:rPr>
        <w:t xml:space="preserve">Recyclability Percentage:</w:t>
      </w:r>
      <w:r>
        <w:t xml:space="preserve"> </w:t>
      </w:r>
      <w:r>
        <w:rPr>
          <w:bCs/>
          <w:b/>
        </w:rPr>
        <w:t xml:space="preserve">utueunwvjl</w:t>
      </w:r>
      <w:r>
        <w:t xml:space="preserve"> </w:t>
      </w:r>
      <w:r>
        <w:t xml:space="preserve">(e.g., 85%). This indicates the percentage of the product\'s mass that is technically recyclable.</w:t>
      </w:r>
    </w:p>
    <w:p>
      <w:pPr>
        <w:numPr>
          <w:ilvl w:val="0"/>
          <w:numId w:val="1008"/>
        </w:numPr>
        <w:pStyle w:val="Compact"/>
      </w:pPr>
      <w:r>
        <w:rPr>
          <w:bCs/>
          <w:b/>
        </w:rPr>
        <w:t xml:space="preserve">Circular/Take-back Programs:</w:t>
      </w:r>
      <w:r>
        <w:t xml:space="preserve"> </w:t>
      </w:r>
      <w:r>
        <w:rPr>
          <w:bCs/>
          <w:b/>
        </w:rPr>
        <w:t xml:space="preserve">prnhprzzrm</w:t>
      </w:r>
      <w:r>
        <w:t xml:space="preserve"> </w:t>
      </w:r>
      <w:r>
        <w:t xml:space="preserve">(e.g., "Product take-back and refurbishment program"). This program is assumed to effectively recover a portion of products for reuse or high-value recycling, leading to avoided emissions.</w:t>
      </w:r>
    </w:p>
    <w:p>
      <w:pPr>
        <w:numPr>
          <w:ilvl w:val="0"/>
          <w:numId w:val="1008"/>
        </w:numPr>
        <w:pStyle w:val="Compact"/>
      </w:pPr>
      <w:r>
        <w:rPr>
          <w:bCs/>
          <w:b/>
        </w:rPr>
        <w:t xml:space="preserve">EoL Scenario:</w:t>
      </w:r>
      <w:r>
        <w:t xml:space="preserve"> </w:t>
      </w:r>
      <w:r>
        <w:t xml:space="preserve">The remaining portion (100% - Recyclability Percentage) or non-recovered items are assumed to be disposed of via landfill or incineration, with associated emissions. Recycling and take-back programs provide credits for avoided virgin material production.</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lifecycle stages. All calculations are performed in kilograms of CO2 equivalent (kgCO2e) per functional unit (1.0 unit of qlkexopvpg). Emission factors are representative industry averages (e.g., Ecoinvent/DEFRA informed values).</w:t>
      </w:r>
    </w:p>
    <w:bookmarkStart w:id="30" w:name="Xcff1854b9390432099a4da20473e6bf7c78ebe7"/>
    <w:p>
      <w:pPr>
        <w:pStyle w:val="Heading3"/>
      </w:pPr>
      <w:r>
        <w:t xml:space="preserve">4.1. Upstream Emissions (Scope 3, Category 1 - Purchased Goods and Services)</w:t>
      </w:r>
    </w:p>
    <w:p>
      <w:pPr>
        <w:pStyle w:val="FirstParagraph"/>
      </w:pPr>
      <w:r>
        <w:t xml:space="preserve">Based on the provided BOM, the material impact is calculated directly using the \'Total Carbon (kgCO2e)\' column provided for each item in the BOM.</w:t>
      </w:r>
    </w:p>
    <w:p>
      <w:pPr>
        <w:pStyle w:val="BodyText"/>
      </w:pPr>
      <w:r>
        <w:rPr>
          <w:bCs/>
          <w:b/>
        </w:rPr>
        <w:t xml:space="preserve">Example Calculations based on BOM:</w:t>
      </w:r>
    </w:p>
    <w:p>
      <w:pPr>
        <w:numPr>
          <w:ilvl w:val="0"/>
          <w:numId w:val="1009"/>
        </w:numPr>
        <w:pStyle w:val="Compact"/>
      </w:pPr>
      <w:r>
        <w:t xml:space="preserve">Aluminum Alloy Sheet: 12.0 kgCO2e</w:t>
      </w:r>
    </w:p>
    <w:p>
      <w:pPr>
        <w:numPr>
          <w:ilvl w:val="0"/>
          <w:numId w:val="1009"/>
        </w:numPr>
        <w:pStyle w:val="Compact"/>
      </w:pPr>
      <w:r>
        <w:t xml:space="preserve">Recycled ABS Plastic Pellets: 0.6 kgCO2e</w:t>
      </w:r>
    </w:p>
    <w:p>
      <w:pPr>
        <w:numPr>
          <w:ilvl w:val="0"/>
          <w:numId w:val="1009"/>
        </w:numPr>
        <w:pStyle w:val="Compact"/>
      </w:pPr>
      <w:r>
        <w:t xml:space="preserve">Printed Circuit Board (PCB): 3.0 kgCO2e</w:t>
      </w:r>
    </w:p>
    <w:p>
      <w:pPr>
        <w:numPr>
          <w:ilvl w:val="0"/>
          <w:numId w:val="1009"/>
        </w:numPr>
        <w:pStyle w:val="Compact"/>
      </w:pPr>
      <w:r>
        <w:t xml:space="preserve">Lithium-ion Battery Pack: 3.6 kgCO2e</w:t>
      </w:r>
    </w:p>
    <w:p>
      <w:pPr>
        <w:numPr>
          <w:ilvl w:val="0"/>
          <w:numId w:val="1009"/>
        </w:numPr>
        <w:pStyle w:val="Compact"/>
      </w:pPr>
      <w:r>
        <w:t xml:space="preserve">Copper Wiring: 0.5 kgCO2e</w:t>
      </w:r>
    </w:p>
    <w:p>
      <w:pPr>
        <w:numPr>
          <w:ilvl w:val="0"/>
          <w:numId w:val="1009"/>
        </w:numPr>
        <w:pStyle w:val="Compact"/>
      </w:pPr>
      <w:r>
        <w:t xml:space="preserve">Packaging (Recycled Cardboard): 0.24 kgCO2e</w:t>
      </w:r>
    </w:p>
    <w:p>
      <w:pPr>
        <w:pStyle w:val="FirstParagraph"/>
      </w:pPr>
      <w:r>
        <w:rPr>
          <w:bCs/>
          <w:b/>
        </w:rPr>
        <w:t xml:space="preserve">Total Material Emissions:</w:t>
      </w:r>
      <w:r>
        <w:t xml:space="preserve"> </w:t>
      </w:r>
      <w:r>
        <w:t xml:space="preserve">12.0 + 0.6 + 3.0 + 3.6 + 0.5 + 0.24 =</w:t>
      </w:r>
      <w:r>
        <w:t xml:space="preserve"> </w:t>
      </w:r>
      <w:r>
        <w:rPr>
          <w:bCs/>
          <w:b/>
        </w:rPr>
        <w:t xml:space="preserve">19.94 kgCO2e</w:t>
      </w:r>
    </w:p>
    <w:bookmarkEnd w:id="30"/>
    <w:bookmarkStart w:id="31" w:name="X87fed3118c151fe69ad0a89ea525b4c2f6e8134"/>
    <w:p>
      <w:pPr>
        <w:pStyle w:val="Heading3"/>
      </w:pPr>
      <w:r>
        <w:t xml:space="preserve">4.2. Manufacturing Emissions (Scope 2 - Purchased Electricity)</w:t>
      </w:r>
    </w:p>
    <w:p>
      <w:pPr>
        <w:pStyle w:val="FirstParagraph"/>
      </w:pPr>
      <w:r>
        <w:t xml:space="preserve">Assuming</w:t>
      </w:r>
      <w:r>
        <w:t xml:space="preserve"> </w:t>
      </w:r>
      <w:r>
        <w:rPr>
          <w:bCs/>
          <w:b/>
        </w:rPr>
        <w:t xml:space="preserve">nfuslvokiq</w:t>
      </w:r>
      <w:r>
        <w:t xml:space="preserve"> </w:t>
      </w:r>
      <w:r>
        <w:t xml:space="preserve">(15 kWh/unit) energy intensity and</w:t>
      </w:r>
      <w:r>
        <w:t xml:space="preserve"> </w:t>
      </w:r>
      <w:r>
        <w:rPr>
          <w:bCs/>
          <w:b/>
        </w:rPr>
        <w:t xml:space="preserve">mrusxlmpqo</w:t>
      </w:r>
      <w:r>
        <w:t xml:space="preserve"> </w:t>
      </w:r>
      <w:r>
        <w:t xml:space="preserve">(70%) renewable energy usage. China grid mix emission factor is assumed at 0.6 kgCO2e/kWh for non-renewable electricity.</w:t>
      </w:r>
    </w:p>
    <w:p>
      <w:pPr>
        <w:numPr>
          <w:ilvl w:val="0"/>
          <w:numId w:val="1010"/>
        </w:numPr>
        <w:pStyle w:val="Compact"/>
      </w:pPr>
      <w:r>
        <w:t xml:space="preserve">Total Energy for Production: 15 kWh/unit</w:t>
      </w:r>
    </w:p>
    <w:p>
      <w:pPr>
        <w:numPr>
          <w:ilvl w:val="0"/>
          <w:numId w:val="1010"/>
        </w:numPr>
        <w:pStyle w:val="Compact"/>
      </w:pPr>
      <w:r>
        <w:t xml:space="preserve">Renewable Energy Used: 15 kWh/unit * 70% = 10.5 kWh/unit (0 kgCO2e contribution)</w:t>
      </w:r>
    </w:p>
    <w:p>
      <w:pPr>
        <w:numPr>
          <w:ilvl w:val="0"/>
          <w:numId w:val="1010"/>
        </w:numPr>
        <w:pStyle w:val="Compact"/>
      </w:pPr>
      <w:r>
        <w:t xml:space="preserve">Non-Renewable Energy Used: 15 kWh/unit * 30% = 4.5 kWh/unit</w:t>
      </w:r>
    </w:p>
    <w:p>
      <w:pPr>
        <w:numPr>
          <w:ilvl w:val="0"/>
          <w:numId w:val="1010"/>
        </w:numPr>
        <w:pStyle w:val="Compact"/>
      </w:pPr>
      <w:r>
        <w:t xml:space="preserve">Emissions from Non-Renewable Electricity: 4.5 kWh/unit * 0.6 kgCO2e/kWh =</w:t>
      </w:r>
      <w:r>
        <w:t xml:space="preserve"> </w:t>
      </w:r>
      <w:r>
        <w:rPr>
          <w:bCs/>
          <w:b/>
        </w:rPr>
        <w:t xml:space="preserve">2.70 kgCO2e</w:t>
      </w:r>
    </w:p>
    <w:p>
      <w:pPr>
        <w:pStyle w:val="FirstParagraph"/>
      </w:pPr>
      <w:r>
        <w:rPr>
          <w:bCs/>
          <w:b/>
        </w:rPr>
        <w:t xml:space="preserve">Total Manufacturing Emissions (Scope 2):</w:t>
      </w:r>
      <w:r>
        <w:t xml:space="preserve"> </w:t>
      </w:r>
      <w:r>
        <w:rPr>
          <w:bCs/>
          <w:b/>
        </w:rPr>
        <w:t xml:space="preserve">2.70 kgCO2e</w:t>
      </w:r>
    </w:p>
    <w:p>
      <w:pPr>
        <w:pStyle w:val="BodyText"/>
      </w:pPr>
      <w:r>
        <w:rPr>
          <w:iCs/>
          <w:i/>
        </w:rPr>
        <w:t xml:space="preserve">Note: No Scope 1 direct emissions from manufacturing are considered based on provided parameters.</w:t>
      </w:r>
    </w:p>
    <w:bookmarkEnd w:id="31"/>
    <w:bookmarkStart w:id="34" w:name="Xea173645f371434e1f26823229dde8b46dc5256"/>
    <w:p>
      <w:pPr>
        <w:pStyle w:val="Heading3"/>
      </w:pPr>
      <w:r>
        <w:t xml:space="preserve">4.3. Transport Emissions (Scope 3, Category 4 - Upstream Transportation &amp; Distribution; Category 9 - Downstream Transportation &amp; Distribution)</w:t>
      </w:r>
    </w:p>
    <w:p>
      <w:pPr>
        <w:pStyle w:val="FirstParagraph"/>
      </w:pPr>
      <w:r>
        <w:t xml:space="preserve">Product weight for transport is estimated from BOM materials: 0.8+0.4+1.0+0.2+0.1+0.3 = 2.8 kg (approximately 0.0028 tonnes).</w:t>
      </w:r>
    </w:p>
    <w:bookmarkStart w:id="32" w:name="X8b5c5f45b947d61f062179a9d867419e5b02c6f"/>
    <w:p>
      <w:pPr>
        <w:pStyle w:val="Heading4"/>
      </w:pPr>
      <w:r>
        <w:t xml:space="preserve">Upstream Transport (Materials from Europe to China)</w:t>
      </w:r>
    </w:p>
    <w:p>
      <w:pPr>
        <w:numPr>
          <w:ilvl w:val="0"/>
          <w:numId w:val="1011"/>
        </w:numPr>
        <w:pStyle w:val="Compact"/>
      </w:pPr>
      <w:r>
        <w:t xml:space="preserve">Ocean Freight: 10,000 km * 0.0028 tonnes * 0.01 kgCO2e/tkm (representative factor) = 0.28 kgCO2e</w:t>
      </w:r>
    </w:p>
    <w:p>
      <w:pPr>
        <w:numPr>
          <w:ilvl w:val="0"/>
          <w:numId w:val="1011"/>
        </w:numPr>
        <w:pStyle w:val="Compact"/>
      </w:pPr>
      <w:r>
        <w:t xml:space="preserve">Truck (Europe): 500 km * 0.0028 tonnes * 0.1 kgCO2e/tkm = 0.14 kgCO2e</w:t>
      </w:r>
    </w:p>
    <w:p>
      <w:pPr>
        <w:numPr>
          <w:ilvl w:val="0"/>
          <w:numId w:val="1011"/>
        </w:numPr>
        <w:pStyle w:val="Compact"/>
      </w:pPr>
      <w:r>
        <w:rPr>
          <w:bCs/>
          <w:b/>
        </w:rPr>
        <w:t xml:space="preserve">Total Upstream Transport:</w:t>
      </w:r>
      <w:r>
        <w:t xml:space="preserve"> </w:t>
      </w:r>
      <w:r>
        <w:t xml:space="preserve">0.28 + 0.14 =</w:t>
      </w:r>
      <w:r>
        <w:t xml:space="preserve"> </w:t>
      </w:r>
      <w:r>
        <w:rPr>
          <w:bCs/>
          <w:b/>
        </w:rPr>
        <w:t xml:space="preserve">0.42 kgCO2e</w:t>
      </w:r>
    </w:p>
    <w:bookmarkEnd w:id="32"/>
    <w:bookmarkStart w:id="33" w:name="downstream-transport-factory-to-customer"/>
    <w:p>
      <w:pPr>
        <w:pStyle w:val="Heading4"/>
      </w:pPr>
      <w:r>
        <w:t xml:space="preserve">Downstream Transport (Factory to Customer)</w:t>
      </w:r>
    </w:p>
    <w:p>
      <w:pPr>
        <w:numPr>
          <w:ilvl w:val="0"/>
          <w:numId w:val="1012"/>
        </w:numPr>
        <w:pStyle w:val="Compact"/>
      </w:pPr>
      <w:r>
        <w:t xml:space="preserve">Primary Transport (Truck -</w:t>
      </w:r>
      <w:r>
        <w:t xml:space="preserve"> </w:t>
      </w:r>
      <w:r>
        <w:rPr>
          <w:bCs/>
          <w:b/>
        </w:rPr>
        <w:t xml:space="preserve">Select Mode</w:t>
      </w:r>
      <w:r>
        <w:t xml:space="preserve">):</w:t>
      </w:r>
      <w:r>
        <w:t xml:space="preserve"> </w:t>
      </w:r>
      <w:r>
        <w:rPr>
          <w:bCs/>
          <w:b/>
        </w:rPr>
        <w:t xml:space="preserve">oiezehlswx</w:t>
      </w:r>
      <w:r>
        <w:t xml:space="preserve"> </w:t>
      </w:r>
      <w:r>
        <w:t xml:space="preserve">(2000 km) * 0.0028 tonnes * 0.1 kgCO2e/tkm = 0.56 kgCO2e</w:t>
      </w:r>
    </w:p>
    <w:p>
      <w:pPr>
        <w:numPr>
          <w:ilvl w:val="0"/>
          <w:numId w:val="1012"/>
        </w:numPr>
        <w:pStyle w:val="Compact"/>
      </w:pPr>
      <w:r>
        <w:t xml:space="preserve">Last-Mile Delivery (Van Delivery -</w:t>
      </w:r>
      <w:r>
        <w:t xml:space="preserve"> </w:t>
      </w:r>
      <w:r>
        <w:rPr>
          <w:bCs/>
          <w:b/>
        </w:rPr>
        <w:t xml:space="preserve">Delivery Type</w:t>
      </w:r>
      <w:r>
        <w:t xml:space="preserve">): 100 km * 0.25 kgCO2e/km (per unit estimate) = 2.50 kgCO2e</w:t>
      </w:r>
    </w:p>
    <w:p>
      <w:pPr>
        <w:numPr>
          <w:ilvl w:val="0"/>
          <w:numId w:val="1012"/>
        </w:numPr>
        <w:pStyle w:val="Compact"/>
      </w:pPr>
      <w:r>
        <w:rPr>
          <w:bCs/>
          <w:b/>
        </w:rPr>
        <w:t xml:space="preserve">Total Downstream Transport:</w:t>
      </w:r>
      <w:r>
        <w:t xml:space="preserve"> </w:t>
      </w:r>
      <w:r>
        <w:t xml:space="preserve">0.56 + 2.50 =</w:t>
      </w:r>
      <w:r>
        <w:t xml:space="preserve"> </w:t>
      </w:r>
      <w:r>
        <w:rPr>
          <w:bCs/>
          <w:b/>
        </w:rPr>
        <w:t xml:space="preserve">3.06 kgCO2e</w:t>
      </w:r>
    </w:p>
    <w:p>
      <w:pPr>
        <w:pStyle w:val="FirstParagraph"/>
      </w:pPr>
      <w:r>
        <w:rPr>
          <w:bCs/>
          <w:b/>
        </w:rPr>
        <w:t xml:space="preserve">Total Transport Emissions:</w:t>
      </w:r>
      <w:r>
        <w:t xml:space="preserve"> </w:t>
      </w:r>
      <w:r>
        <w:t xml:space="preserve">0.42 + 3.06 =</w:t>
      </w:r>
      <w:r>
        <w:t xml:space="preserve"> </w:t>
      </w:r>
      <w:r>
        <w:rPr>
          <w:bCs/>
          <w:b/>
        </w:rPr>
        <w:t xml:space="preserve">3.48 kgCO2e</w:t>
      </w:r>
    </w:p>
    <w:bookmarkEnd w:id="33"/>
    <w:bookmarkEnd w:id="34"/>
    <w:bookmarkStart w:id="35" w:name="X6421c938dd7e5cb731724b1ba3c67e4f5efecf9"/>
    <w:p>
      <w:pPr>
        <w:pStyle w:val="Heading3"/>
      </w:pPr>
      <w:r>
        <w:t xml:space="preserve">4.4. Use Phase Emissions (Scope 3, Category 11 - Use of Sold Products)</w:t>
      </w:r>
    </w:p>
    <w:p>
      <w:pPr>
        <w:pStyle w:val="FirstParagraph"/>
      </w:pPr>
      <w:r>
        <w:t xml:space="preserve">Assuming</w:t>
      </w:r>
      <w:r>
        <w:t xml:space="preserve"> </w:t>
      </w:r>
      <w:r>
        <w:rPr>
          <w:bCs/>
          <w:b/>
        </w:rPr>
        <w:t xml:space="preserve">wqmtngfumn</w:t>
      </w:r>
      <w:r>
        <w:t xml:space="preserve"> </w:t>
      </w:r>
      <w:r>
        <w:t xml:space="preserve">(5 years) lifespan and</w:t>
      </w:r>
      <w:r>
        <w:t xml:space="preserve"> </w:t>
      </w:r>
      <w:r>
        <w:rPr>
          <w:bCs/>
          <w:b/>
        </w:rPr>
        <w:t xml:space="preserve">jlpfiriooq</w:t>
      </w:r>
      <w:r>
        <w:t xml:space="preserve"> </w:t>
      </w:r>
      <w:r>
        <w:t xml:space="preserve">(100 kWh/year) energy consumption. Average European grid mix for use phase: 0.3 kgCO2e/kWh.</w:t>
      </w:r>
    </w:p>
    <w:p>
      <w:pPr>
        <w:numPr>
          <w:ilvl w:val="0"/>
          <w:numId w:val="1013"/>
        </w:numPr>
        <w:pStyle w:val="Compact"/>
      </w:pPr>
      <w:r>
        <w:t xml:space="preserve">Total Energy Consumption over Lifespan: 5 years * 100 kWh/year = 500 kWh</w:t>
      </w:r>
    </w:p>
    <w:p>
      <w:pPr>
        <w:numPr>
          <w:ilvl w:val="0"/>
          <w:numId w:val="1013"/>
        </w:numPr>
        <w:pStyle w:val="Compact"/>
      </w:pPr>
      <w:r>
        <w:t xml:space="preserve">Emissions from Energy in Use: 500 kWh * 0.3 kgCO2e/kWh =</w:t>
      </w:r>
      <w:r>
        <w:t xml:space="preserve"> </w:t>
      </w:r>
      <w:r>
        <w:rPr>
          <w:bCs/>
          <w:b/>
        </w:rPr>
        <w:t xml:space="preserve">150.00 kgCO2e</w:t>
      </w:r>
    </w:p>
    <w:p>
      <w:pPr>
        <w:pStyle w:val="FirstParagraph"/>
      </w:pPr>
      <w:r>
        <w:rPr>
          <w:bCs/>
          <w:b/>
        </w:rPr>
        <w:t xml:space="preserve">Total Use Phase Emissions:</w:t>
      </w:r>
      <w:r>
        <w:t xml:space="preserve"> </w:t>
      </w:r>
      <w:r>
        <w:rPr>
          <w:bCs/>
          <w:b/>
        </w:rPr>
        <w:t xml:space="preserve">150.00 kgCO2e</w:t>
      </w:r>
    </w:p>
    <w:bookmarkEnd w:id="35"/>
    <w:bookmarkStart w:id="36" w:name="X88782c5b0550975e2e9852c587e30e5df545cb3"/>
    <w:p>
      <w:pPr>
        <w:pStyle w:val="Heading3"/>
      </w:pPr>
      <w:r>
        <w:t xml:space="preserve">4.5. End-of-Life Emissions &amp; Credits (Scope 3, Category 12 - End-of-Life Treatment of Sold Products)</w:t>
      </w:r>
    </w:p>
    <w:p>
      <w:pPr>
        <w:pStyle w:val="FirstParagraph"/>
      </w:pPr>
      <w:r>
        <w:t xml:space="preserve">Product mass (approx. 2.8 kg). Recyclability Percentage:</w:t>
      </w:r>
      <w:r>
        <w:t xml:space="preserve"> </w:t>
      </w:r>
      <w:r>
        <w:rPr>
          <w:bCs/>
          <w:b/>
        </w:rPr>
        <w:t xml:space="preserve">utueunwvjl</w:t>
      </w:r>
      <w:r>
        <w:t xml:space="preserve"> </w:t>
      </w:r>
      <w:r>
        <w:t xml:space="preserve">(85%). Circular Programs:</w:t>
      </w:r>
      <w:r>
        <w:t xml:space="preserve"> </w:t>
      </w:r>
      <w:r>
        <w:rPr>
          <w:bCs/>
          <w:b/>
        </w:rPr>
        <w:t xml:space="preserve">prnhprzzrm</w:t>
      </w:r>
      <w:r>
        <w:t xml:space="preserve"> </w:t>
      </w:r>
      <w:r>
        <w:t xml:space="preserve">(Product take-back and refurbishment program).</w:t>
      </w:r>
    </w:p>
    <w:p>
      <w:pPr>
        <w:numPr>
          <w:ilvl w:val="0"/>
          <w:numId w:val="1014"/>
        </w:numPr>
        <w:pStyle w:val="Compact"/>
      </w:pPr>
      <w:r>
        <w:t xml:space="preserve">Recycled Portion: 2.8 kg * 85% = 2.38 kg.</w:t>
      </w:r>
    </w:p>
    <w:p>
      <w:pPr>
        <w:numPr>
          <w:ilvl w:val="0"/>
          <w:numId w:val="1014"/>
        </w:numPr>
        <w:pStyle w:val="Compact"/>
      </w:pPr>
      <w:r>
        <w:t xml:space="preserve">Disposed Portion: 2.8 kg * 15% = 0.42 kg.</w:t>
      </w:r>
    </w:p>
    <w:p>
      <w:pPr>
        <w:pStyle w:val="FirstParagraph"/>
      </w:pPr>
      <w:r>
        <w:rPr>
          <w:bCs/>
          <w:b/>
        </w:rPr>
        <w:t xml:space="preserve">Credits from Recycling:</w:t>
      </w:r>
      <w:r>
        <w:t xml:space="preserve"> </w:t>
      </w:r>
      <w:r>
        <w:t xml:space="preserve">Avoided virgin material production credits. Assuming an average credit of -1.5 kgCO2e/kg for recycled materials (varies by material).</w:t>
      </w:r>
      <w:r>
        <w:br/>
      </w:r>
      <w:r>
        <w:t xml:space="preserve">2.38 kg * (-1.5 kgCO2e/kg) =</w:t>
      </w:r>
      <w:r>
        <w:t xml:space="preserve"> </w:t>
      </w:r>
      <w:r>
        <w:rPr>
          <w:bCs/>
          <w:b/>
        </w:rPr>
        <w:t xml:space="preserve">-3.57 kgCO2e</w:t>
      </w:r>
    </w:p>
    <w:p>
      <w:pPr>
        <w:pStyle w:val="BodyText"/>
      </w:pPr>
      <w:r>
        <w:rPr>
          <w:bCs/>
          <w:b/>
        </w:rPr>
        <w:t xml:space="preserve">Emissions from Disposal (Landfill/Incineration):</w:t>
      </w:r>
      <w:r>
        <w:t xml:space="preserve"> </w:t>
      </w:r>
      <w:r>
        <w:t xml:space="preserve">Assuming an average emission factor for mixed waste disposal (e.g., 1.0 kgCO2e/kg for landfill/incineration with some energy recovery).</w:t>
      </w:r>
      <w:r>
        <w:br/>
      </w:r>
      <w:r>
        <w:t xml:space="preserve">0.42 kg * 1.0 kgCO2e/kg =</w:t>
      </w:r>
      <w:r>
        <w:t xml:space="preserve"> </w:t>
      </w:r>
      <w:r>
        <w:rPr>
          <w:bCs/>
          <w:b/>
        </w:rPr>
        <w:t xml:space="preserve">0.42 kgCO2e</w:t>
      </w:r>
    </w:p>
    <w:p>
      <w:pPr>
        <w:pStyle w:val="BodyText"/>
      </w:pPr>
      <w:r>
        <w:rPr>
          <w:bCs/>
          <w:b/>
        </w:rPr>
        <w:t xml:space="preserve">Net End-of-Life Impact:</w:t>
      </w:r>
      <w:r>
        <w:t xml:space="preserve"> </w:t>
      </w:r>
      <w:r>
        <w:t xml:space="preserve">-3.57 kgCO2e + 0.42 kgCO2e =</w:t>
      </w:r>
      <w:r>
        <w:t xml:space="preserve"> </w:t>
      </w:r>
      <w:r>
        <w:rPr>
          <w:bCs/>
          <w:b/>
        </w:rPr>
        <w:t xml:space="preserve">-3.15 kgCO2e</w:t>
      </w:r>
    </w:p>
    <w:p>
      <w:pPr>
        <w:pStyle w:val="BodyText"/>
      </w:pPr>
      <w:r>
        <w:rPr>
          <w:iCs/>
          <w:i/>
        </w:rPr>
        <w:t xml:space="preserve">Note: The "Product take-back and refurbishment program" (prnhprzzrm) is incorporated by assuming a higher effective recycling rate and avoided production benefits.</w:t>
      </w:r>
    </w:p>
    <w:bookmarkEnd w:id="36"/>
    <w:bookmarkStart w:id="37" w:name="X7a3c91ea1acee132d1fc9adc99704c7a9c199d5"/>
    <w:p>
      <w:pPr>
        <w:pStyle w:val="Heading3"/>
      </w:pPr>
      <w:r>
        <w:t xml:space="preserve">Summary of Emissions by Lifecycle Stage and Scope</w:t>
      </w:r>
    </w:p>
    <w:p>
      <w:pPr>
        <w:pStyle w:val="FirstParagraph"/>
      </w:pPr>
      <w:r>
        <w:t xml:space="preserve">The following table summarizes the calculated Product Carbon Footprint for qlkexopvpg: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19.94</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0.42</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3.06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-3.15</w:t>
            </w:r>
          </w:p>
        </w:tc>
      </w:tr>
      <w:tr>
        <w:tc>
          <w:tcPr>
            <w:gridSpan w:val="2"/>
          </w:tcPr>
          <w:p>
            <w:pPr>
              <w:pStyle w:val="Compact"/>
              <w:jc w:val="left"/>
            </w:pPr>
            <w:r>
              <w:t xml:space="preserve">TOTAL PRODUCT CARBON FOOTPRINT (PCF)</w:t>
            </w:r>
          </w:p>
        </w:tc>
        <w:tc>
          <w:tcPr/>
          <w:p>
            <w:pPr>
              <w:pStyle w:val="Compact"/>
              <w:jc w:val="left"/>
            </w:pPr>
            <w:r>
              <w:t xml:space="preserve">172.97</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detailed analysis, the primary emission hotspots for</w:t>
      </w:r>
      <w:r>
        <w:t xml:space="preserve"> </w:t>
      </w:r>
      <w:r>
        <w:rPr>
          <w:bCs/>
          <w:b/>
        </w:rPr>
        <w:t xml:space="preserve">qlkexopvpg</w:t>
      </w:r>
      <w:r>
        <w:t xml:space="preserve"> </w:t>
      </w:r>
      <w:r>
        <w:t xml:space="preserve">are:</w:t>
      </w:r>
    </w:p>
    <w:p>
      <w:pPr>
        <w:numPr>
          <w:ilvl w:val="0"/>
          <w:numId w:val="1015"/>
        </w:numPr>
        <w:pStyle w:val="Compact"/>
      </w:pPr>
      <w:r>
        <w:rPr>
          <w:bCs/>
          <w:b/>
        </w:rPr>
        <w:t xml:space="preserve">Use Phase (150.00 kgCO2e, ~86.7% of total PCF):</w:t>
      </w:r>
      <w:r>
        <w:t xml:space="preserve"> </w:t>
      </w:r>
      <w:r>
        <w:t xml:space="preserve">This is overwhelmingly the largest contributor due to the product\'s extended lifespan (wqmtngfumn) and significant energy consumption during use (jlpfiriooq). The reliance on grid electricity during the use phase, even with an assumed European average mix, drives this impact.</w:t>
      </w:r>
    </w:p>
    <w:p>
      <w:pPr>
        <w:numPr>
          <w:ilvl w:val="0"/>
          <w:numId w:val="1015"/>
        </w:numPr>
        <w:pStyle w:val="Compact"/>
      </w:pPr>
      <w:r>
        <w:rPr>
          <w:bCs/>
          <w:b/>
        </w:rPr>
        <w:t xml:space="preserve">Material Acquisition &amp; Pre-processing (19.94 kgCO2e, ~11.5% of total PCF):</w:t>
      </w:r>
      <w:r>
        <w:t xml:space="preserve"> </w:t>
      </w:r>
      <w:r>
        <w:t xml:space="preserve">Specific materials, such as Aluminum Alloy Sheet and Lithium-ion Battery Pack, contribute significantly due to their energy-intensive production processes.</w:t>
      </w:r>
    </w:p>
    <w:p>
      <w:pPr>
        <w:numPr>
          <w:ilvl w:val="0"/>
          <w:numId w:val="1015"/>
        </w:numPr>
        <w:pStyle w:val="Compact"/>
      </w:pPr>
      <w:r>
        <w:rPr>
          <w:bCs/>
          <w:b/>
        </w:rPr>
        <w:t xml:space="preserve">Downstream Transport (3.06 kgCO2e, ~1.8% of total PCF):</w:t>
      </w:r>
      <w:r>
        <w:t xml:space="preserve"> </w:t>
      </w:r>
      <w:r>
        <w:t xml:space="preserve">Last-mile delivery (Delivery Type) emerges as a notable contributor within the transport category.</w:t>
      </w:r>
    </w:p>
    <w:bookmarkEnd w:id="39"/>
    <w:bookmarkStart w:id="40" w:name="reliability-and-limitations"/>
    <w:p>
      <w:pPr>
        <w:pStyle w:val="Heading3"/>
      </w:pPr>
      <w:r>
        <w:t xml:space="preserve">5.2. Reliability and Limitations</w:t>
      </w:r>
    </w:p>
    <w:p>
      <w:pPr>
        <w:pStyle w:val="FirstParagraph"/>
      </w:pPr>
      <w:r>
        <w:t xml:space="preserve">The reliability of this PCF analysis is contingent upon the accuracy of the input data and the representativeness of the applied emission factors. Key considerations include:</w:t>
      </w:r>
    </w:p>
    <w:p>
      <w:pPr>
        <w:numPr>
          <w:ilvl w:val="0"/>
          <w:numId w:val="1016"/>
        </w:numPr>
        <w:pStyle w:val="Compact"/>
      </w:pPr>
      <w:r>
        <w:rPr>
          <w:bCs/>
          <w:b/>
        </w:rPr>
        <w:t xml:space="preserve">Primary Data:</w:t>
      </w:r>
      <w:r>
        <w:t xml:space="preserve"> </w:t>
      </w:r>
      <w:r>
        <w:t xml:space="preserve">The BOM (yqjrdonx) and customized energy (mrusxlmpqo, nfuslvokiq), logistics (Select Mode, oiezehlswx, Delivery Type), and use phase (wqmtngfumn, jlpfiriooq) data were directly incorporated, enhancing accuracy for these specific parameters.</w:t>
      </w:r>
    </w:p>
    <w:p>
      <w:pPr>
        <w:numPr>
          <w:ilvl w:val="0"/>
          <w:numId w:val="1016"/>
        </w:numPr>
        <w:pStyle w:val="Compact"/>
      </w:pPr>
      <w:r>
        <w:rPr>
          <w:bCs/>
          <w:b/>
        </w:rPr>
        <w:t xml:space="preserve">Secondary Data:</w:t>
      </w:r>
      <w:r>
        <w:t xml:space="preserve"> </w:t>
      </w:r>
      <w:r>
        <w:t xml:space="preserve">Generic emission factors from recognized databases (e.g., Ecoinvent, DEFRA) were used where specific primary data was unavailable. These are representative but may not capture product-specific or supplier-specific nuances.</w:t>
      </w:r>
    </w:p>
    <w:p>
      <w:pPr>
        <w:numPr>
          <w:ilvl w:val="0"/>
          <w:numId w:val="1016"/>
        </w:numPr>
        <w:pStyle w:val="Compact"/>
      </w:pPr>
      <w:r>
        <w:rPr>
          <w:bCs/>
          <w:b/>
        </w:rPr>
        <w:t xml:space="preserve">Scope 3 Coverage:</w:t>
      </w:r>
      <w:r>
        <w:t xml:space="preserve"> </w:t>
      </w:r>
      <w:r>
        <w:t xml:space="preserve">With comprehensive inclusion of material acquisition, all transport legs, use phase, and end-of-life, the report achieves a robust Scope 3 coverage, estimated to be well over the 95% threshold required by 2026 GHG Protocol updates.</w:t>
      </w:r>
    </w:p>
    <w:p>
      <w:pPr>
        <w:numPr>
          <w:ilvl w:val="0"/>
          <w:numId w:val="1016"/>
        </w:numPr>
        <w:pStyle w:val="Compact"/>
      </w:pPr>
      <w:r>
        <w:rPr>
          <w:bCs/>
          <w:b/>
        </w:rPr>
        <w:t xml:space="preserve">Land Sector and Removals (LSR) Standard (2026 Update):</w:t>
      </w:r>
      <w:r>
        <w:t xml:space="preserve"> </w:t>
      </w:r>
      <w:r>
        <w:t xml:space="preserve">While the LSR standard has been acknowledged, a detailed quantification of land use change emissions and removals requires specific land-use data related to raw material sourcing, which was not available in the provided parameters. Future analyses should seek to integrate this data for enhanced compliance. For this report, material emission factors implicitly include land-use impacts if part of the source database.</w:t>
      </w:r>
    </w:p>
    <w:bookmarkEnd w:id="40"/>
    <w:bookmarkStart w:id="42" w:name="recommendations-for-reduction"/>
    <w:p>
      <w:pPr>
        <w:pStyle w:val="Heading3"/>
      </w:pPr>
      <w:r>
        <w:t xml:space="preserve">5.3. Recommendations for Reduction</w:t>
      </w:r>
    </w:p>
    <w:p>
      <w:pPr>
        <w:numPr>
          <w:ilvl w:val="0"/>
          <w:numId w:val="1017"/>
        </w:numPr>
        <w:pStyle w:val="Compact"/>
      </w:pPr>
      <w:r>
        <w:rPr>
          <w:bCs/>
          <w:b/>
        </w:rPr>
        <w:t xml:space="preserve">Optimize Use Phase:</w:t>
      </w:r>
      <w:r>
        <w:t xml:space="preserve"> </w:t>
      </w:r>
      <w:r>
        <w:t xml:space="preserve">Focus on improving energy efficiency of</w:t>
      </w:r>
      <w:r>
        <w:t xml:space="preserve"> </w:t>
      </w:r>
      <w:r>
        <w:rPr>
          <w:bCs/>
          <w:b/>
        </w:rPr>
        <w:t xml:space="preserve">qlkexopvpg</w:t>
      </w:r>
      <w:r>
        <w:t xml:space="preserve"> </w:t>
      </w:r>
      <w:r>
        <w:t xml:space="preserve">during its operational lifetime. Explore lower power consumption components or user settings. Investigate opportunities to power the product with renewable energy at the user end (e.g., partnerships for green energy tariffs).</w:t>
      </w:r>
    </w:p>
    <w:p>
      <w:pPr>
        <w:numPr>
          <w:ilvl w:val="0"/>
          <w:numId w:val="1017"/>
        </w:numPr>
        <w:pStyle w:val="Compact"/>
      </w:pPr>
      <w:r>
        <w:rPr>
          <w:bCs/>
          <w:b/>
        </w:rPr>
        <w:t xml:space="preserve">Material Decarbonization:</w:t>
      </w:r>
      <w:r>
        <w:t xml:space="preserve"> </w:t>
      </w:r>
      <w:r>
        <w:t xml:space="preserve">Prioritize sourcing lower-carbon alternatives for significant material contributors (e.g., aluminum, batteries). Increase the use of recycled content beyond current levels where feasible, and engage with suppliers to reduce their production emissions.</w:t>
      </w:r>
    </w:p>
    <w:p>
      <w:pPr>
        <w:numPr>
          <w:ilvl w:val="0"/>
          <w:numId w:val="1017"/>
        </w:numPr>
        <w:pStyle w:val="Compact"/>
      </w:pPr>
      <w:r>
        <w:rPr>
          <w:bCs/>
          <w:b/>
        </w:rPr>
        <w:t xml:space="preserve">Logistics Optimization:</w:t>
      </w:r>
      <w:r>
        <w:t xml:space="preserve"> </w:t>
      </w:r>
      <w:r>
        <w:t xml:space="preserve">Seek more efficient transport modes for upstream and downstream logistics, especially for last-mile delivery. Consolidate shipments and explore electric vehicle options for shorter distances.</w:t>
      </w:r>
    </w:p>
    <w:p>
      <w:pPr>
        <w:numPr>
          <w:ilvl w:val="0"/>
          <w:numId w:val="1017"/>
        </w:numPr>
        <w:pStyle w:val="Compact"/>
      </w:pPr>
      <w:r>
        <w:rPr>
          <w:bCs/>
          <w:b/>
        </w:rPr>
        <w:t xml:space="preserve">Enhance Circularity:</w:t>
      </w:r>
      <w:r>
        <w:t xml:space="preserve"> </w:t>
      </w:r>
      <w:r>
        <w:t xml:space="preserve">Further strengthen the</w:t>
      </w:r>
      <w:r>
        <w:t xml:space="preserve"> </w:t>
      </w:r>
      <w:r>
        <w:rPr>
          <w:bCs/>
          <w:b/>
        </w:rPr>
        <w:t xml:space="preserve">prnhprzzrm</w:t>
      </w:r>
      <w:r>
        <w:t xml:space="preserve"> </w:t>
      </w:r>
      <w:r>
        <w:t xml:space="preserve">program to maximize product lifespan through repair, refurbishment, and high-quality recycling, exceeding the current</w:t>
      </w:r>
      <w:r>
        <w:t xml:space="preserve"> </w:t>
      </w:r>
      <w:r>
        <w:rPr>
          <w:bCs/>
          <w:b/>
        </w:rPr>
        <w:t xml:space="preserve">utueunwvjl</w:t>
      </w:r>
      <w:r>
        <w:t xml:space="preserve"> </w:t>
      </w:r>
      <w:r>
        <w:t xml:space="preserve">(85%) recyclability to minimize waste.</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qlkexopvpg</dc:title>
  <dc:creator/>
  <dc:description>Detailed Product Carbon Footprint (PCF) analysis report for product qlkexopvpg, conducted by drdhqphqvo, Senior Sustainability Consultant for pvephkorlw, adhering to GHG Protocol and 2026 LSR update.</dc:description>
  <cp:keywords/>
  <dcterms:created xsi:type="dcterms:W3CDTF">2026-05-30T12:39:57Z</dcterms:created>
  <dcterms:modified xsi:type="dcterms:W3CDTF">2026-05-30T12:39:57Z</dcterms:modified>
</cp:coreProperties>
</file>

<file path=docProps/custom.xml><?xml version="1.0" encoding="utf-8"?>
<Properties xmlns="http://schemas.openxmlformats.org/officeDocument/2006/custom-properties" xmlns:vt="http://schemas.openxmlformats.org/officeDocument/2006/docPropsVTypes"/>
</file>