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qlkexopvpg</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qlkexopvpg</w:t>
      </w:r>
    </w:p>
    <w:p>
      <w:pPr>
        <w:pStyle w:val="BodyText"/>
      </w:pPr>
      <w:r>
        <w:rPr>
          <w:bCs/>
          <w:b/>
        </w:rPr>
        <w:t xml:space="preserve">Company:</w:t>
      </w:r>
      <w:r>
        <w:t xml:space="preserve"> </w:t>
      </w:r>
      <w:r>
        <w:t xml:space="preserve">pvephkorlw</w:t>
      </w:r>
    </w:p>
    <w:p>
      <w:pPr>
        <w:pStyle w:val="BodyText"/>
      </w:pPr>
      <w:r>
        <w:rPr>
          <w:bCs/>
          <w:b/>
        </w:rPr>
        <w:t xml:space="preserve">Senior Sustainability Consultant:</w:t>
      </w:r>
      <w:r>
        <w:t xml:space="preserve"> </w:t>
      </w:r>
      <w:r>
        <w:t xml:space="preserve">drdhqphqvo</w:t>
      </w:r>
    </w:p>
    <w:p>
      <w:pPr>
        <w:pStyle w:val="BodyText"/>
      </w:pPr>
      <w:r>
        <w:rPr>
          <w:bCs/>
          <w:b/>
        </w:rPr>
        <w:t xml:space="preserve">Accounting Standard:</w:t>
      </w:r>
      <w:r>
        <w:t xml:space="preserve"> </w:t>
      </w:r>
      <w:r>
        <w:t xml:space="preserve">GHG Protocol</w:t>
      </w:r>
    </w:p>
    <w:p>
      <w:pPr>
        <w:pStyle w:val="BodyText"/>
      </w:pPr>
      <w:r>
        <w:t xml:space="preserve">Disclaimer: This report is generated based on available data, specified parameters, and industry standards. While efforts have been made to ensure accuracy, the actual environmental impact may vary based on real-world conditions and specific data availability.</w:t>
      </w:r>
    </w:p>
    <w:bookmarkEnd w:id="20"/>
    <w:p>
      <w:pPr>
        <w:pStyle w:val="BodyText"/>
      </w:pPr>
      <w:r>
        <w:t xml:space="preserve">Generated Date: May 23, 2026</w:t>
      </w:r>
    </w:p>
    <w:bookmarkStart w:id="44" w:name="X1d1a82957288fc2bd3000aea963769f6f8e6f7a"/>
    <w:p>
      <w:pPr>
        <w:pStyle w:val="Heading1"/>
      </w:pPr>
      <w:r>
        <w:t xml:space="preserve">Product Carbon Footprint Analysis for qlkexopvpg</w:t>
      </w:r>
    </w:p>
    <w:p>
      <w:pPr>
        <w:pStyle w:val="FirstParagraph"/>
      </w:pPr>
      <w:r>
        <w:t xml:space="preserve">Conducted by drdhqphqvo, Senior Sustainability Consultant, for pvephkorlw.</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w:t>
      </w:r>
      <w:r>
        <w:t xml:space="preserve"> </w:t>
      </w:r>
      <w:r>
        <w:rPr>
          <w:bCs/>
          <w:b/>
        </w:rPr>
        <w:t xml:space="preserve">qlkexopvpg</w:t>
      </w:r>
      <w:r>
        <w:t xml:space="preserve"> </w:t>
      </w:r>
      <w:r>
        <w:t xml:space="preserve">manufactured by</w:t>
      </w:r>
      <w:r>
        <w:t xml:space="preserve"> </w:t>
      </w:r>
      <w:r>
        <w:rPr>
          <w:bCs/>
          <w:b/>
        </w:rPr>
        <w:t xml:space="preserve">pvephkorlw</w:t>
      </w:r>
      <w:r>
        <w:t xml:space="preserve">. The analysis follows the Greenhouse Gas (GHG) Protocol standards, incorporating the 2026 Land Sector and Removals (LSR) Standard updates and aiming for over 95% Scope 3 coverage. The PCF quantifies the total greenhouse gas emissions associated with the product\'s entire lifecycle, from raw material extraction to end-of-life, utilizing specific data for materials, production energy, logistics, and end-of-life scenarios. This detailed assessment aims to identify emission hotspots and provide actionable insights for sustainability improvements.</w:t>
      </w:r>
    </w:p>
    <w:p>
      <w:r>
        <w:pict>
          <v:rect style="width:0;height:1.5pt" o:hralign="center" o:hrstd="t" o:hr="t"/>
        </w:pict>
      </w:r>
    </w:p>
    <w:bookmarkEnd w:id="21"/>
    <w:bookmarkStart w:id="22" w:name="scope-definition"/>
    <w:p>
      <w:pPr>
        <w:pStyle w:val="Heading2"/>
      </w:pPr>
      <w:r>
        <w:t xml:space="preserve">1. Scope Definition</w:t>
      </w:r>
    </w:p>
    <w:p>
      <w:pPr>
        <w:pStyle w:val="FirstParagraph"/>
      </w:pPr>
      <w:r>
        <w:t xml:space="preserve">The scope of this Product Carbon Footprint (PCF) analysis is defined as follows, in accordance with the GHG Protocol Product Standard:</w:t>
      </w:r>
    </w:p>
    <w:p>
      <w:pPr>
        <w:numPr>
          <w:ilvl w:val="0"/>
          <w:numId w:val="1001"/>
        </w:numPr>
        <w:pStyle w:val="Compact"/>
      </w:pPr>
      <w:r>
        <w:rPr>
          <w:bCs/>
          <w:b/>
        </w:rPr>
        <w:t xml:space="preserve">Functional Unit:</w:t>
      </w:r>
      <w:r>
        <w:t xml:space="preserve"> </w:t>
      </w:r>
      <w:r>
        <w:t xml:space="preserve">1.0 unit of qlkexopvpg. This represents the quantified performance of the product system for use as a reference unit.</w:t>
      </w:r>
    </w:p>
    <w:p>
      <w:pPr>
        <w:numPr>
          <w:ilvl w:val="0"/>
          <w:numId w:val="1001"/>
        </w:numPr>
        <w:pStyle w:val="Compact"/>
      </w:pPr>
      <w:r>
        <w:rPr>
          <w:bCs/>
          <w:b/>
        </w:rPr>
        <w:t xml:space="preserve">System Boundary:</w:t>
      </w:r>
      <w:r>
        <w:t xml:space="preserve"> </w:t>
      </w:r>
      <w:r>
        <w:t xml:space="preserve">factory_gate. The assessment covers all lifecycle stages from "cradle-to-gate," encompassing raw material acquisition, manufacturing, and transport up to the final production facility\'s gate. For this report, we\'ve expanded beyond strict "gate" to include downstream transport, use phase, and end-of-life to provide a more comprehensive "cradle-to-grave" perspective as per specific parameters provided, while categorizing emissions appropriately within GHG Protocol Scopes.</w:t>
      </w:r>
    </w:p>
    <w:p>
      <w:pPr>
        <w:numPr>
          <w:ilvl w:val="0"/>
          <w:numId w:val="1001"/>
        </w:numPr>
        <w:pStyle w:val="Compact"/>
      </w:pPr>
      <w:r>
        <w:rPr>
          <w:bCs/>
          <w:b/>
        </w:rPr>
        <w:t xml:space="preserve">Geographic Scope:</w:t>
      </w:r>
    </w:p>
    <w:p>
      <w:pPr>
        <w:numPr>
          <w:ilvl w:val="1"/>
          <w:numId w:val="1002"/>
        </w:numPr>
        <w:pStyle w:val="Compact"/>
      </w:pPr>
      <w:r>
        <w:rPr>
          <w:bCs/>
          <w:b/>
        </w:rPr>
        <w:t xml:space="preserve">Final Production Country:</w:t>
      </w:r>
      <w:r>
        <w:t xml:space="preserve"> </w:t>
      </w:r>
      <w:r>
        <w:t xml:space="preserve">China.</w:t>
      </w:r>
    </w:p>
    <w:p>
      <w:pPr>
        <w:numPr>
          <w:ilvl w:val="1"/>
          <w:numId w:val="1002"/>
        </w:numPr>
        <w:pStyle w:val="Compact"/>
      </w:pPr>
      <w:r>
        <w:rPr>
          <w:bCs/>
          <w:b/>
        </w:rPr>
        <w:t xml:space="preserve">Supply Chain Focus:</w:t>
      </w:r>
      <w:r>
        <w:t xml:space="preserve"> </w:t>
      </w:r>
      <w:r>
        <w:t xml:space="preserve">Europe Focused. This implies a significant portion of raw materials and components are sourced from or transported through Europe before reaching the final production in China.</w:t>
      </w:r>
    </w:p>
    <w:p>
      <w:pPr>
        <w:numPr>
          <w:ilvl w:val="0"/>
          <w:numId w:val="1001"/>
        </w:numPr>
        <w:pStyle w:val="Compact"/>
      </w:pPr>
      <w:r>
        <w:rPr>
          <w:bCs/>
          <w:b/>
        </w:rPr>
        <w:t xml:space="preserve">Accounting Standard:</w:t>
      </w:r>
      <w:r>
        <w:t xml:space="preserve"> </w:t>
      </w:r>
      <w:r>
        <w:t xml:space="preserve">GHG Protocol Product Life Cycle Accounting and Reporting Standard. This provides a robust framework for quantifying and reporting GHG emissions associated with products. This report also incorporates guidance from the upcoming 2026 Land Sector and Removals (LSR) Standard.</w:t>
      </w:r>
    </w:p>
    <w:p>
      <w:pPr>
        <w:numPr>
          <w:ilvl w:val="0"/>
          <w:numId w:val="1001"/>
        </w:numPr>
        <w:pStyle w:val="Compact"/>
      </w:pPr>
      <w:r>
        <w:rPr>
          <w:bCs/>
          <w:b/>
        </w:rPr>
        <w:t xml:space="preserve">Allocation:</w:t>
      </w:r>
      <w:r>
        <w:t xml:space="preserve"> </w:t>
      </w:r>
      <w:r>
        <w:t xml:space="preserve">All emissions are allocated to the functional unit (1.0 unit of qlkexopvpg) as it is assumed to be the sole primary product of the defined system. No co-products or by-products requiring complex allocation are considered within this framework.</w:t>
      </w:r>
    </w:p>
    <w:p>
      <w:r>
        <w:pict>
          <v:rect style="width:0;height:1.5pt" o:hralign="center" o:hrstd="t" o:hr="t"/>
        </w:pict>
      </w:r>
    </w:p>
    <w:bookmarkEnd w:id="22"/>
    <w:bookmarkStart w:id="29" w:name="Xf9aefb2ea8883b9018cac308e12ad149b847e49"/>
    <w:p>
      <w:pPr>
        <w:pStyle w:val="Heading2"/>
      </w:pPr>
      <w:r>
        <w:t xml:space="preserve">2. &amp; 3. Lifecycle Mapping &amp; Data Collection (LCI Inventory)</w:t>
      </w:r>
    </w:p>
    <w:p>
      <w:pPr>
        <w:pStyle w:val="FirstParagraph"/>
      </w:pPr>
      <w:r>
        <w:t xml:space="preserve">This section details the various lifecycle stages of the qlkexopvpg product and the primary and secondary data points collected for the Life Cycle Inventory (LCI). Emissions are categorized according to the GHG Protocol as Scope 1 (Direct Emissions), Scope 2 (Energy Indirect Emissions), and Scope 3 (Other Indirect Emissions from the Value Chain).</w:t>
      </w:r>
    </w:p>
    <w:bookmarkStart w:id="24" w:name="X1198c8af25dd1a2ebffa686809674f976343a37"/>
    <w:p>
      <w:pPr>
        <w:pStyle w:val="Heading3"/>
      </w:pPr>
      <w:r>
        <w:t xml:space="preserve">2.1. Material Acquisition &amp; Pre-processing (Scope 3 - Upstream)</w:t>
      </w:r>
    </w:p>
    <w:p>
      <w:pPr>
        <w:pStyle w:val="FirstParagraph"/>
      </w:pPr>
      <w:r>
        <w:t xml:space="preserve">The detailed Bill of Materials (BOM) for</w:t>
      </w:r>
      <w:r>
        <w:t xml:space="preserve"> </w:t>
      </w:r>
      <w:r>
        <w:rPr>
          <w:bCs/>
          <w:b/>
        </w:rPr>
        <w:t xml:space="preserve">qlkexopvpg</w:t>
      </w:r>
      <w:r>
        <w:t xml:space="preserve"> </w:t>
      </w:r>
      <w:r>
        <w:t xml:space="preserve">was provided as</w:t>
      </w:r>
      <w:r>
        <w:t xml:space="preserve"> </w:t>
      </w:r>
      <w:r>
        <w:rPr>
          <w:bCs/>
          <w:b/>
        </w:rPr>
        <w:t xml:space="preserve">yqjrdonx</w:t>
      </w:r>
      <w:r>
        <w:t xml:space="preserve">. For the purpose of calculation, a representative BOM based on the specified format (ID, Description, Category, Process, Qty, Unit, Emission Factor, Total Carbon) is used. Emission factors for materials are sourced from industry-standard databases (e.g., Ecoinvent, DEFRA) and are illustrative for this analysis. The total carbon for each item, as per the specified format, is directly used in the calculation.</w:t>
      </w:r>
    </w:p>
    <w:bookmarkStart w:id="23" w:name="detailed-bill-of-materials-bom"/>
    <w:p>
      <w:pPr>
        <w:pStyle w:val="Heading4"/>
      </w:pPr>
      <w:r>
        <w:t xml:space="preserve">Detailed Bill of Materials (BOM)</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w:t>
            </w:r>
          </w:p>
        </w:tc>
        <w:tc>
          <w:tcPr/>
          <w:p>
            <w:pPr>
              <w:pStyle w:val="Compact"/>
              <w:jc w:val="left"/>
            </w:pPr>
            <w:r>
              <w:t xml:space="preserve">Total Carbon (kgCO2e)</w:t>
            </w:r>
          </w:p>
        </w:tc>
      </w:tr>
      <w:tr>
        <w:tc>
          <w:tcPr/>
          <w:p>
            <w:pPr>
              <w:pStyle w:val="Compact"/>
              <w:jc w:val="left"/>
            </w:pPr>
            <w:r>
              <w:t xml:space="preserve">M1</w:t>
            </w:r>
          </w:p>
        </w:tc>
        <w:tc>
          <w:tcPr/>
          <w:p>
            <w:pPr>
              <w:pStyle w:val="Compact"/>
              <w:jc w:val="left"/>
            </w:pPr>
            <w:r>
              <w:t xml:space="preserve">Aluminum Alloy Sheet</w:t>
            </w:r>
          </w:p>
        </w:tc>
        <w:tc>
          <w:tcPr/>
          <w:p>
            <w:pPr>
              <w:pStyle w:val="Compact"/>
              <w:jc w:val="left"/>
            </w:pPr>
            <w:r>
              <w:t xml:space="preserve">Metal</w:t>
            </w:r>
          </w:p>
        </w:tc>
        <w:tc>
          <w:tcPr/>
          <w:p>
            <w:pPr>
              <w:pStyle w:val="Compact"/>
              <w:jc w:val="left"/>
            </w:pPr>
            <w:r>
              <w:t xml:space="preserve">Primary Production &amp; Forming</w:t>
            </w:r>
          </w:p>
        </w:tc>
        <w:tc>
          <w:tcPr/>
          <w:p>
            <w:pPr>
              <w:pStyle w:val="Compact"/>
              <w:jc w:val="left"/>
            </w:pPr>
            <w:r>
              <w:t xml:space="preserve">0.8</w:t>
            </w:r>
          </w:p>
        </w:tc>
        <w:tc>
          <w:tcPr/>
          <w:p>
            <w:pPr>
              <w:pStyle w:val="Compact"/>
              <w:jc w:val="left"/>
            </w:pPr>
            <w:r>
              <w:t xml:space="preserve">kg</w:t>
            </w:r>
          </w:p>
        </w:tc>
        <w:tc>
          <w:tcPr/>
          <w:p>
            <w:pPr>
              <w:pStyle w:val="Compact"/>
              <w:jc w:val="left"/>
            </w:pPr>
            <w:r>
              <w:t xml:space="preserve">15.0</w:t>
            </w:r>
          </w:p>
        </w:tc>
        <w:tc>
          <w:tcPr/>
          <w:p>
            <w:pPr>
              <w:pStyle w:val="Compact"/>
              <w:jc w:val="left"/>
            </w:pPr>
            <w:r>
              <w:t xml:space="preserve">12.0</w:t>
            </w:r>
          </w:p>
        </w:tc>
      </w:tr>
      <w:tr>
        <w:tc>
          <w:tcPr/>
          <w:p>
            <w:pPr>
              <w:pStyle w:val="Compact"/>
              <w:jc w:val="left"/>
            </w:pPr>
            <w:r>
              <w:t xml:space="preserve">M2</w:t>
            </w:r>
          </w:p>
        </w:tc>
        <w:tc>
          <w:tcPr/>
          <w:p>
            <w:pPr>
              <w:pStyle w:val="Compact"/>
              <w:jc w:val="left"/>
            </w:pPr>
            <w:r>
              <w:t xml:space="preserve">Recycled ABS Plastic Pellets</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0.4</w:t>
            </w:r>
          </w:p>
        </w:tc>
        <w:tc>
          <w:tcPr/>
          <w:p>
            <w:pPr>
              <w:pStyle w:val="Compact"/>
              <w:jc w:val="left"/>
            </w:pPr>
            <w:r>
              <w:t xml:space="preserve">kg</w:t>
            </w:r>
          </w:p>
        </w:tc>
        <w:tc>
          <w:tcPr/>
          <w:p>
            <w:pPr>
              <w:pStyle w:val="Compact"/>
              <w:jc w:val="left"/>
            </w:pPr>
            <w:r>
              <w:t xml:space="preserve">1.5</w:t>
            </w:r>
          </w:p>
        </w:tc>
        <w:tc>
          <w:tcPr/>
          <w:p>
            <w:pPr>
              <w:pStyle w:val="Compact"/>
              <w:jc w:val="left"/>
            </w:pPr>
            <w:r>
              <w:t xml:space="preserve">0.6</w:t>
            </w:r>
          </w:p>
        </w:tc>
      </w:tr>
      <w:tr>
        <w:tc>
          <w:tcPr/>
          <w:p>
            <w:pPr>
              <w:pStyle w:val="Compact"/>
              <w:jc w:val="left"/>
            </w:pPr>
            <w:r>
              <w:t xml:space="preserve">M3</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Manufacturing &amp; Assembly</w:t>
            </w:r>
          </w:p>
        </w:tc>
        <w:tc>
          <w:tcPr/>
          <w:p>
            <w:pPr>
              <w:pStyle w:val="Compact"/>
              <w:jc w:val="left"/>
            </w:pPr>
            <w:r>
              <w:t xml:space="preserve">1.0</w:t>
            </w:r>
          </w:p>
        </w:tc>
        <w:tc>
          <w:tcPr/>
          <w:p>
            <w:pPr>
              <w:pStyle w:val="Compact"/>
              <w:jc w:val="left"/>
            </w:pPr>
            <w:r>
              <w:t xml:space="preserve">unit</w:t>
            </w:r>
          </w:p>
        </w:tc>
        <w:tc>
          <w:tcPr/>
          <w:p>
            <w:pPr>
              <w:pStyle w:val="Compact"/>
              <w:jc w:val="left"/>
            </w:pPr>
            <w:r>
              <w:t xml:space="preserve">3.0</w:t>
            </w:r>
          </w:p>
        </w:tc>
        <w:tc>
          <w:tcPr/>
          <w:p>
            <w:pPr>
              <w:pStyle w:val="Compact"/>
              <w:jc w:val="left"/>
            </w:pPr>
            <w:r>
              <w:t xml:space="preserve">3.0</w:t>
            </w:r>
          </w:p>
        </w:tc>
      </w:tr>
      <w:tr>
        <w:tc>
          <w:tcPr/>
          <w:p>
            <w:pPr>
              <w:pStyle w:val="Compact"/>
              <w:jc w:val="left"/>
            </w:pPr>
            <w:r>
              <w:t xml:space="preserve">M4</w:t>
            </w:r>
          </w:p>
        </w:tc>
        <w:tc>
          <w:tcPr/>
          <w:p>
            <w:pPr>
              <w:pStyle w:val="Compact"/>
              <w:jc w:val="left"/>
            </w:pPr>
            <w:r>
              <w:t xml:space="preserve">Lithium-ion Battery Pack</w:t>
            </w:r>
          </w:p>
        </w:tc>
        <w:tc>
          <w:tcPr/>
          <w:p>
            <w:pPr>
              <w:pStyle w:val="Compact"/>
              <w:jc w:val="left"/>
            </w:pPr>
            <w:r>
              <w:t xml:space="preserve">Battery</w:t>
            </w:r>
          </w:p>
        </w:tc>
        <w:tc>
          <w:tcPr/>
          <w:p>
            <w:pPr>
              <w:pStyle w:val="Compact"/>
              <w:jc w:val="left"/>
            </w:pPr>
            <w:r>
              <w:t xml:space="preserve">Cell Production &amp; Assembly</w:t>
            </w:r>
          </w:p>
        </w:tc>
        <w:tc>
          <w:tcPr/>
          <w:p>
            <w:pPr>
              <w:pStyle w:val="Compact"/>
              <w:jc w:val="left"/>
            </w:pPr>
            <w:r>
              <w:t xml:space="preserve">0.2</w:t>
            </w:r>
          </w:p>
        </w:tc>
        <w:tc>
          <w:tcPr/>
          <w:p>
            <w:pPr>
              <w:pStyle w:val="Compact"/>
              <w:jc w:val="left"/>
            </w:pPr>
            <w:r>
              <w:t xml:space="preserve">kg</w:t>
            </w:r>
          </w:p>
        </w:tc>
        <w:tc>
          <w:tcPr/>
          <w:p>
            <w:pPr>
              <w:pStyle w:val="Compact"/>
              <w:jc w:val="left"/>
            </w:pPr>
            <w:r>
              <w:t xml:space="preserve">18.0</w:t>
            </w:r>
          </w:p>
        </w:tc>
        <w:tc>
          <w:tcPr/>
          <w:p>
            <w:pPr>
              <w:pStyle w:val="Compact"/>
              <w:jc w:val="left"/>
            </w:pPr>
            <w:r>
              <w:t xml:space="preserve">3.6</w:t>
            </w:r>
          </w:p>
        </w:tc>
      </w:tr>
      <w:tr>
        <w:tc>
          <w:tcPr/>
          <w:p>
            <w:pPr>
              <w:pStyle w:val="Compact"/>
              <w:jc w:val="left"/>
            </w:pPr>
            <w:r>
              <w:t xml:space="preserve">M5</w:t>
            </w:r>
          </w:p>
        </w:tc>
        <w:tc>
          <w:tcPr/>
          <w:p>
            <w:pPr>
              <w:pStyle w:val="Compact"/>
              <w:jc w:val="left"/>
            </w:pPr>
            <w:r>
              <w:t xml:space="preserve">Copper Wiring</w:t>
            </w:r>
          </w:p>
        </w:tc>
        <w:tc>
          <w:tcPr/>
          <w:p>
            <w:pPr>
              <w:pStyle w:val="Compact"/>
              <w:jc w:val="left"/>
            </w:pPr>
            <w:r>
              <w:t xml:space="preserve">Metal</w:t>
            </w:r>
          </w:p>
        </w:tc>
        <w:tc>
          <w:tcPr/>
          <w:p>
            <w:pPr>
              <w:pStyle w:val="Compact"/>
              <w:jc w:val="left"/>
            </w:pPr>
            <w:r>
              <w:t xml:space="preserve">Extraction &amp; Drawing</w:t>
            </w:r>
          </w:p>
        </w:tc>
        <w:tc>
          <w:tcPr/>
          <w:p>
            <w:pPr>
              <w:pStyle w:val="Compact"/>
              <w:jc w:val="left"/>
            </w:pPr>
            <w:r>
              <w:t xml:space="preserve">0.1</w:t>
            </w:r>
          </w:p>
        </w:tc>
        <w:tc>
          <w:tcPr/>
          <w:p>
            <w:pPr>
              <w:pStyle w:val="Compact"/>
              <w:jc w:val="left"/>
            </w:pPr>
            <w:r>
              <w:t xml:space="preserve">kg</w:t>
            </w:r>
          </w:p>
        </w:tc>
        <w:tc>
          <w:tcPr/>
          <w:p>
            <w:pPr>
              <w:pStyle w:val="Compact"/>
              <w:jc w:val="left"/>
            </w:pPr>
            <w:r>
              <w:t xml:space="preserve">5.0</w:t>
            </w:r>
          </w:p>
        </w:tc>
        <w:tc>
          <w:tcPr/>
          <w:p>
            <w:pPr>
              <w:pStyle w:val="Compact"/>
              <w:jc w:val="left"/>
            </w:pPr>
            <w:r>
              <w:t xml:space="preserve">0.5</w:t>
            </w:r>
          </w:p>
        </w:tc>
      </w:tr>
      <w:tr>
        <w:tc>
          <w:tcPr/>
          <w:p>
            <w:pPr>
              <w:pStyle w:val="Compact"/>
              <w:jc w:val="left"/>
            </w:pPr>
            <w:r>
              <w:t xml:space="preserve">M6</w:t>
            </w:r>
          </w:p>
        </w:tc>
        <w:tc>
          <w:tcPr/>
          <w:p>
            <w:pPr>
              <w:pStyle w:val="Compact"/>
              <w:jc w:val="left"/>
            </w:pPr>
            <w:r>
              <w:t xml:space="preserve">Packaging (Recycled Cardboard)</w:t>
            </w:r>
          </w:p>
        </w:tc>
        <w:tc>
          <w:tcPr/>
          <w:p>
            <w:pPr>
              <w:pStyle w:val="Compact"/>
              <w:jc w:val="left"/>
            </w:pPr>
            <w:r>
              <w:t xml:space="preserve">Paper/Pulp</w:t>
            </w:r>
          </w:p>
        </w:tc>
        <w:tc>
          <w:tcPr/>
          <w:p>
            <w:pPr>
              <w:pStyle w:val="Compact"/>
              <w:jc w:val="left"/>
            </w:pPr>
            <w:r>
              <w:t xml:space="preserve">Conversion</w:t>
            </w:r>
          </w:p>
        </w:tc>
        <w:tc>
          <w:tcPr/>
          <w:p>
            <w:pPr>
              <w:pStyle w:val="Compact"/>
              <w:jc w:val="left"/>
            </w:pPr>
            <w:r>
              <w:t xml:space="preserve">0.3</w:t>
            </w:r>
          </w:p>
        </w:tc>
        <w:tc>
          <w:tcPr/>
          <w:p>
            <w:pPr>
              <w:pStyle w:val="Compact"/>
              <w:jc w:val="left"/>
            </w:pPr>
            <w:r>
              <w:t xml:space="preserve">kg</w:t>
            </w:r>
          </w:p>
        </w:tc>
        <w:tc>
          <w:tcPr/>
          <w:p>
            <w:pPr>
              <w:pStyle w:val="Compact"/>
              <w:jc w:val="left"/>
            </w:pPr>
            <w:r>
              <w:t xml:space="preserve">0.8</w:t>
            </w:r>
          </w:p>
        </w:tc>
        <w:tc>
          <w:tcPr/>
          <w:p>
            <w:pPr>
              <w:pStyle w:val="Compact"/>
              <w:jc w:val="left"/>
            </w:pPr>
            <w:r>
              <w:t xml:space="preserve">0.24</w:t>
            </w:r>
          </w:p>
        </w:tc>
      </w:tr>
    </w:tbl>
    <w:bookmarkEnd w:id="23"/>
    <w:bookmarkEnd w:id="24"/>
    <w:bookmarkStart w:id="25" w:name="manufacturing-assembly-scope-1-scope-2"/>
    <w:p>
      <w:pPr>
        <w:pStyle w:val="Heading3"/>
      </w:pPr>
      <w:r>
        <w:t xml:space="preserve">2.2. Manufacturing &amp; Assembly (Scope 1 &amp; Scope 2)</w:t>
      </w:r>
    </w:p>
    <w:p>
      <w:pPr>
        <w:pStyle w:val="FirstParagraph"/>
      </w:pPr>
      <w:r>
        <w:t xml:space="preserve">The production of qlkexopvpg occurs in China. Energy consumption for the manufacturing process is a key input.</w:t>
      </w:r>
    </w:p>
    <w:p>
      <w:pPr>
        <w:numPr>
          <w:ilvl w:val="0"/>
          <w:numId w:val="1003"/>
        </w:numPr>
        <w:pStyle w:val="Compact"/>
      </w:pPr>
      <w:r>
        <w:rPr>
          <w:bCs/>
          <w:b/>
        </w:rPr>
        <w:t xml:space="preserve">Energy Intensity (kWh/unit):</w:t>
      </w:r>
      <w:r>
        <w:t xml:space="preserve"> </w:t>
      </w:r>
      <w:r>
        <w:t xml:space="preserve">The specified energy intensity is</w:t>
      </w:r>
      <w:r>
        <w:t xml:space="preserve"> </w:t>
      </w:r>
      <w:r>
        <w:rPr>
          <w:bCs/>
          <w:b/>
        </w:rPr>
        <w:t xml:space="preserve">nfuslvokiq</w:t>
      </w:r>
      <w:r>
        <w:t xml:space="preserve"> </w:t>
      </w:r>
      <w:r>
        <w:t xml:space="preserve">(e.g., 15 kWh/unit).</w:t>
      </w:r>
    </w:p>
    <w:p>
      <w:pPr>
        <w:numPr>
          <w:ilvl w:val="0"/>
          <w:numId w:val="1003"/>
        </w:numPr>
        <w:pStyle w:val="Compact"/>
      </w:pPr>
      <w:r>
        <w:rPr>
          <w:bCs/>
          <w:b/>
        </w:rPr>
        <w:t xml:space="preserve">Renewable Energy Usage:</w:t>
      </w:r>
      <w:r>
        <w:t xml:space="preserve"> </w:t>
      </w:r>
      <w:r>
        <w:rPr>
          <w:bCs/>
          <w:b/>
        </w:rPr>
        <w:t xml:space="preserve">mrusxlmpqo</w:t>
      </w:r>
      <w:r>
        <w:t xml:space="preserve"> </w:t>
      </w:r>
      <w:r>
        <w:t xml:space="preserve">(e.g., 70%). This percentage of electricity is assumed to be sourced from renewable energy, leading to lower Scope 2 emissions for that portion.</w:t>
      </w:r>
    </w:p>
    <w:p>
      <w:pPr>
        <w:numPr>
          <w:ilvl w:val="0"/>
          <w:numId w:val="1003"/>
        </w:numPr>
        <w:pStyle w:val="Compact"/>
      </w:pPr>
      <w:r>
        <w:rPr>
          <w:bCs/>
          <w:b/>
        </w:rPr>
        <w:t xml:space="preserve">Non-renewable Electricity:</w:t>
      </w:r>
      <w:r>
        <w:t xml:space="preserve"> </w:t>
      </w:r>
      <w:r>
        <w:t xml:space="preserve">(1 - mrusxlmpqo) * nfuslvokiq.</w:t>
      </w:r>
    </w:p>
    <w:p>
      <w:pPr>
        <w:numPr>
          <w:ilvl w:val="0"/>
          <w:numId w:val="1003"/>
        </w:numPr>
        <w:pStyle w:val="Compact"/>
      </w:pPr>
      <w:r>
        <w:rPr>
          <w:bCs/>
          <w:b/>
        </w:rPr>
        <w:t xml:space="preserve">Direct Emissions (Scope 1):</w:t>
      </w:r>
      <w:r>
        <w:t xml:space="preserve"> </w:t>
      </w:r>
      <w:r>
        <w:t xml:space="preserve">No specific direct fuel combustion data was provided. For this analysis, Scope 1 emissions from manufacturing are considered negligible or integrated into electricity generation if off-site.</w:t>
      </w:r>
    </w:p>
    <w:bookmarkEnd w:id="25"/>
    <w:bookmarkStart w:id="26" w:name="Xc78fa9e95fdc5a4841e5055035e97eb6a5c3c11"/>
    <w:p>
      <w:pPr>
        <w:pStyle w:val="Heading3"/>
      </w:pPr>
      <w:r>
        <w:t xml:space="preserve">2.3. Transport &amp; Distribution (Scope 3 - Upstream &amp; Downstream)</w:t>
      </w:r>
    </w:p>
    <w:p>
      <w:pPr>
        <w:pStyle w:val="FirstParagraph"/>
      </w:pPr>
      <w:r>
        <w:t xml:space="preserve">Logistics data is incorporated into the supply chain analysis.</w:t>
      </w:r>
    </w:p>
    <w:p>
      <w:pPr>
        <w:numPr>
          <w:ilvl w:val="0"/>
          <w:numId w:val="1004"/>
        </w:numPr>
        <w:pStyle w:val="Compact"/>
      </w:pPr>
      <w:r>
        <w:rPr>
          <w:bCs/>
          <w:b/>
        </w:rPr>
        <w:t xml:space="preserve">Upstream Transport (Materials):</w:t>
      </w:r>
      <w:r>
        <w:t xml:space="preserve"> </w:t>
      </w:r>
      <w:r>
        <w:t xml:space="preserve">Estimated average transport for raw materials and components from Europe to China.</w:t>
      </w:r>
    </w:p>
    <w:p>
      <w:pPr>
        <w:numPr>
          <w:ilvl w:val="1"/>
          <w:numId w:val="1005"/>
        </w:numPr>
        <w:pStyle w:val="Compact"/>
      </w:pPr>
      <w:r>
        <w:rPr>
          <w:bCs/>
          <w:b/>
        </w:rPr>
        <w:t xml:space="preserve">Mode:</w:t>
      </w:r>
      <w:r>
        <w:t xml:space="preserve"> </w:t>
      </w:r>
      <w:r>
        <w:t xml:space="preserve">Ocean Freight (for bulk) and Truck (for regional European collection).</w:t>
      </w:r>
    </w:p>
    <w:p>
      <w:pPr>
        <w:numPr>
          <w:ilvl w:val="1"/>
          <w:numId w:val="1005"/>
        </w:numPr>
        <w:pStyle w:val="Compact"/>
      </w:pPr>
      <w:r>
        <w:rPr>
          <w:bCs/>
          <w:b/>
        </w:rPr>
        <w:t xml:space="preserve">Distance:</w:t>
      </w:r>
      <w:r>
        <w:t xml:space="preserve"> </w:t>
      </w:r>
      <w:r>
        <w:t xml:space="preserve">Assumed 10,000 km (ocean) + 500 km (truck) for primary components.</w:t>
      </w:r>
    </w:p>
    <w:p>
      <w:pPr>
        <w:numPr>
          <w:ilvl w:val="0"/>
          <w:numId w:val="1004"/>
        </w:numPr>
        <w:pStyle w:val="Compact"/>
      </w:pPr>
      <w:r>
        <w:rPr>
          <w:bCs/>
          <w:b/>
        </w:rPr>
        <w:t xml:space="preserve">Downstream Transport (Product to Customer):</w:t>
      </w:r>
    </w:p>
    <w:p>
      <w:pPr>
        <w:numPr>
          <w:ilvl w:val="1"/>
          <w:numId w:val="1006"/>
        </w:numPr>
        <w:pStyle w:val="Compact"/>
      </w:pPr>
      <w:r>
        <w:rPr>
          <w:bCs/>
          <w:b/>
        </w:rPr>
        <w:t xml:space="preserve">Primary Transport Mode:</w:t>
      </w:r>
      <w:r>
        <w:t xml:space="preserve"> </w:t>
      </w:r>
      <w:r>
        <w:rPr>
          <w:bCs/>
          <w:b/>
        </w:rPr>
        <w:t xml:space="preserve">Select Mode</w:t>
      </w:r>
      <w:r>
        <w:t xml:space="preserve"> </w:t>
      </w:r>
      <w:r>
        <w:t xml:space="preserve">(e.g., Truck).</w:t>
      </w:r>
    </w:p>
    <w:p>
      <w:pPr>
        <w:numPr>
          <w:ilvl w:val="1"/>
          <w:numId w:val="1006"/>
        </w:numPr>
        <w:pStyle w:val="Compact"/>
      </w:pPr>
      <w:r>
        <w:rPr>
          <w:bCs/>
          <w:b/>
        </w:rPr>
        <w:t xml:space="preserve">Transport Distance:</w:t>
      </w:r>
      <w:r>
        <w:t xml:space="preserve"> </w:t>
      </w:r>
      <w:r>
        <w:rPr>
          <w:bCs/>
          <w:b/>
        </w:rPr>
        <w:t xml:space="preserve">oiezehlswx</w:t>
      </w:r>
      <w:r>
        <w:t xml:space="preserve"> </w:t>
      </w:r>
      <w:r>
        <w:t xml:space="preserve">(e.g., 2000 km from China factory to European distribution hub).</w:t>
      </w:r>
    </w:p>
    <w:p>
      <w:pPr>
        <w:numPr>
          <w:ilvl w:val="1"/>
          <w:numId w:val="1006"/>
        </w:numPr>
        <w:pStyle w:val="Compact"/>
      </w:pPr>
      <w:r>
        <w:rPr>
          <w:bCs/>
          <w:b/>
        </w:rPr>
        <w:t xml:space="preserve">Last-Mile Delivery Channel:</w:t>
      </w:r>
      <w:r>
        <w:t xml:space="preserve"> </w:t>
      </w:r>
      <w:r>
        <w:rPr>
          <w:bCs/>
          <w:b/>
        </w:rPr>
        <w:t xml:space="preserve">Delivery Type</w:t>
      </w:r>
      <w:r>
        <w:t xml:space="preserve"> </w:t>
      </w:r>
      <w:r>
        <w:t xml:space="preserve">(e.g., Van Delivery).</w:t>
      </w:r>
    </w:p>
    <w:p>
      <w:pPr>
        <w:numPr>
          <w:ilvl w:val="1"/>
          <w:numId w:val="1006"/>
        </w:numPr>
        <w:pStyle w:val="Compact"/>
      </w:pPr>
      <w:r>
        <w:rPr>
          <w:bCs/>
          <w:b/>
        </w:rPr>
        <w:t xml:space="preserve">Last-Mile Distance:</w:t>
      </w:r>
      <w:r>
        <w:t xml:space="preserve"> </w:t>
      </w:r>
      <w:r>
        <w:t xml:space="preserve">Assumed 100 km per unit.</w:t>
      </w:r>
    </w:p>
    <w:bookmarkEnd w:id="26"/>
    <w:bookmarkStart w:id="27" w:name="product-use-phase-scope-3---downstream"/>
    <w:p>
      <w:pPr>
        <w:pStyle w:val="Heading3"/>
      </w:pPr>
      <w:r>
        <w:t xml:space="preserve">2.4. Product Use Phase (Scope 3 - Downstream)</w:t>
      </w:r>
    </w:p>
    <w:p>
      <w:pPr>
        <w:pStyle w:val="FirstParagraph"/>
      </w:pPr>
      <w:r>
        <w:t xml:space="preserve">The energy consumption during the product\'s operational lifetime significantly contributes to its PCF.</w:t>
      </w:r>
    </w:p>
    <w:p>
      <w:pPr>
        <w:numPr>
          <w:ilvl w:val="0"/>
          <w:numId w:val="1007"/>
        </w:numPr>
        <w:pStyle w:val="Compact"/>
      </w:pPr>
      <w:r>
        <w:rPr>
          <w:bCs/>
          <w:b/>
        </w:rPr>
        <w:t xml:space="preserve">Product Lifespan:</w:t>
      </w:r>
      <w:r>
        <w:t xml:space="preserve"> </w:t>
      </w:r>
      <w:r>
        <w:rPr>
          <w:bCs/>
          <w:b/>
        </w:rPr>
        <w:t xml:space="preserve">wqmtngfumn</w:t>
      </w:r>
      <w:r>
        <w:t xml:space="preserve"> </w:t>
      </w:r>
      <w:r>
        <w:t xml:space="preserve">(e.g., 5 years).</w:t>
      </w:r>
    </w:p>
    <w:p>
      <w:pPr>
        <w:numPr>
          <w:ilvl w:val="0"/>
          <w:numId w:val="1007"/>
        </w:numPr>
        <w:pStyle w:val="Compact"/>
      </w:pPr>
      <w:r>
        <w:rPr>
          <w:bCs/>
          <w:b/>
        </w:rPr>
        <w:t xml:space="preserve">Energy Consumption in Use:</w:t>
      </w:r>
      <w:r>
        <w:t xml:space="preserve"> </w:t>
      </w:r>
      <w:r>
        <w:rPr>
          <w:bCs/>
          <w:b/>
        </w:rPr>
        <w:t xml:space="preserve">jlpfiriooq</w:t>
      </w:r>
      <w:r>
        <w:t xml:space="preserve"> </w:t>
      </w:r>
      <w:r>
        <w:t xml:space="preserve">(e.g., 100 kWh/year).</w:t>
      </w:r>
    </w:p>
    <w:p>
      <w:pPr>
        <w:numPr>
          <w:ilvl w:val="0"/>
          <w:numId w:val="1007"/>
        </w:numPr>
        <w:pStyle w:val="Compact"/>
      </w:pPr>
      <w:r>
        <w:rPr>
          <w:bCs/>
          <w:b/>
        </w:rPr>
        <w:t xml:space="preserve">Total Energy Consumption (Use Phase):</w:t>
      </w:r>
      <w:r>
        <w:t xml:space="preserve"> </w:t>
      </w:r>
      <w:r>
        <w:t xml:space="preserve">Product Lifespan * Energy Consumption in Use.</w:t>
      </w:r>
    </w:p>
    <w:p>
      <w:pPr>
        <w:numPr>
          <w:ilvl w:val="0"/>
          <w:numId w:val="1007"/>
        </w:numPr>
        <w:pStyle w:val="Compact"/>
      </w:pPr>
      <w:r>
        <w:rPr>
          <w:bCs/>
          <w:b/>
        </w:rPr>
        <w:t xml:space="preserve">Emission Factor (Use Phase Electricity):</w:t>
      </w:r>
      <w:r>
        <w:t xml:space="preserve"> </w:t>
      </w:r>
      <w:r>
        <w:t xml:space="preserve">Assumed average European grid mix for consumer usage.</w:t>
      </w:r>
    </w:p>
    <w:bookmarkEnd w:id="27"/>
    <w:bookmarkStart w:id="28" w:name="X92fbc61eed99b9d9aafbebcbbd2c7ad7660f7e4"/>
    <w:p>
      <w:pPr>
        <w:pStyle w:val="Heading3"/>
      </w:pPr>
      <w:r>
        <w:t xml:space="preserve">2.5. End-of-Life (EoL) Phase (Scope 3 - Downstream)</w:t>
      </w:r>
    </w:p>
    <w:p>
      <w:pPr>
        <w:pStyle w:val="FirstParagraph"/>
      </w:pPr>
      <w:r>
        <w:t xml:space="preserve">The end-of-life scenario accounts for disposal, recycling, and any circular economy initiatives.</w:t>
      </w:r>
    </w:p>
    <w:p>
      <w:pPr>
        <w:numPr>
          <w:ilvl w:val="0"/>
          <w:numId w:val="1008"/>
        </w:numPr>
        <w:pStyle w:val="Compact"/>
      </w:pPr>
      <w:r>
        <w:rPr>
          <w:bCs/>
          <w:b/>
        </w:rPr>
        <w:t xml:space="preserve">Recyclability Percentage:</w:t>
      </w:r>
      <w:r>
        <w:t xml:space="preserve"> </w:t>
      </w:r>
      <w:r>
        <w:rPr>
          <w:bCs/>
          <w:b/>
        </w:rPr>
        <w:t xml:space="preserve">utueunwvjl</w:t>
      </w:r>
      <w:r>
        <w:t xml:space="preserve"> </w:t>
      </w:r>
      <w:r>
        <w:t xml:space="preserve">(e.g., 85%). This indicates the percentage of the product\'s mass that is technically recyclable.</w:t>
      </w:r>
    </w:p>
    <w:p>
      <w:pPr>
        <w:numPr>
          <w:ilvl w:val="0"/>
          <w:numId w:val="1008"/>
        </w:numPr>
        <w:pStyle w:val="Compact"/>
      </w:pPr>
      <w:r>
        <w:rPr>
          <w:bCs/>
          <w:b/>
        </w:rPr>
        <w:t xml:space="preserve">Circular/Take-back Programs:</w:t>
      </w:r>
      <w:r>
        <w:t xml:space="preserve"> </w:t>
      </w:r>
      <w:r>
        <w:rPr>
          <w:bCs/>
          <w:b/>
        </w:rPr>
        <w:t xml:space="preserve">prnhprzzrm</w:t>
      </w:r>
      <w:r>
        <w:t xml:space="preserve"> </w:t>
      </w:r>
      <w:r>
        <w:t xml:space="preserve">(e.g., "Product take-back and refurbishment program"). This program is assumed to effectively recover a portion of products for reuse or high-value recycling, leading to avoided emissions.</w:t>
      </w:r>
    </w:p>
    <w:p>
      <w:pPr>
        <w:numPr>
          <w:ilvl w:val="0"/>
          <w:numId w:val="1008"/>
        </w:numPr>
        <w:pStyle w:val="Compact"/>
      </w:pPr>
      <w:r>
        <w:rPr>
          <w:bCs/>
          <w:b/>
        </w:rPr>
        <w:t xml:space="preserve">EoL Scenario:</w:t>
      </w:r>
      <w:r>
        <w:t xml:space="preserve"> </w:t>
      </w:r>
      <w:r>
        <w:t xml:space="preserve">The remaining portion (100% - Recyclability Percentage) or non-recovered items are assumed to be disposed of via landfill or incineration, with associated emissions. Recycling and take-back programs provide credits for avoided virgin material production.</w:t>
      </w:r>
    </w:p>
    <w:p>
      <w:r>
        <w:pict>
          <v:rect style="width:0;height:1.5pt" o:hralign="center" o:hrstd="t" o:hr="t"/>
        </w:pict>
      </w:r>
    </w:p>
    <w:bookmarkEnd w:id="28"/>
    <w:bookmarkEnd w:id="29"/>
    <w:bookmarkStart w:id="38" w:name="X439a6e6dcb43c636bf515ffaf3f59bce0bd6490"/>
    <w:p>
      <w:pPr>
        <w:pStyle w:val="Heading2"/>
      </w:pPr>
      <w:r>
        <w:t xml:space="preserve">4. Emission Calculation (Activity * Emission Factor = CO2e)</w:t>
      </w:r>
    </w:p>
    <w:p>
      <w:pPr>
        <w:pStyle w:val="FirstParagraph"/>
      </w:pPr>
      <w:r>
        <w:t xml:space="preserve">This section details the calculation of emissions across all lifecycle stages. All calculations are performed in kilograms of CO2 equivalent (kgCO2e) per functional unit (1.0 unit of qlkexopvpg). Emission factors are representative industry averages (e.g., Ecoinvent/DEFRA informed values).</w:t>
      </w:r>
    </w:p>
    <w:bookmarkStart w:id="30" w:name="Xcff1854b9390432099a4da20473e6bf7c78ebe7"/>
    <w:p>
      <w:pPr>
        <w:pStyle w:val="Heading3"/>
      </w:pPr>
      <w:r>
        <w:t xml:space="preserve">4.1. Upstream Emissions (Scope 3, Category 1 - Purchased Goods and Services)</w:t>
      </w:r>
    </w:p>
    <w:p>
      <w:pPr>
        <w:pStyle w:val="FirstParagraph"/>
      </w:pPr>
      <w:r>
        <w:t xml:space="preserve">Based on the provided BOM, the material impact is calculated directly using the \'Total Carbon (kgCO2e)\' column provided for each item in the BOM.</w:t>
      </w:r>
    </w:p>
    <w:p>
      <w:pPr>
        <w:pStyle w:val="BodyText"/>
      </w:pPr>
      <w:r>
        <w:rPr>
          <w:bCs/>
          <w:b/>
        </w:rPr>
        <w:t xml:space="preserve">Example Calculations based on BOM:</w:t>
      </w:r>
    </w:p>
    <w:p>
      <w:pPr>
        <w:numPr>
          <w:ilvl w:val="0"/>
          <w:numId w:val="1009"/>
        </w:numPr>
        <w:pStyle w:val="Compact"/>
      </w:pPr>
      <w:r>
        <w:t xml:space="preserve">Aluminum Alloy Sheet: 12.0 kgCO2e</w:t>
      </w:r>
    </w:p>
    <w:p>
      <w:pPr>
        <w:numPr>
          <w:ilvl w:val="0"/>
          <w:numId w:val="1009"/>
        </w:numPr>
        <w:pStyle w:val="Compact"/>
      </w:pPr>
      <w:r>
        <w:t xml:space="preserve">Recycled ABS Plastic Pellets: 0.6 kgCO2e</w:t>
      </w:r>
    </w:p>
    <w:p>
      <w:pPr>
        <w:numPr>
          <w:ilvl w:val="0"/>
          <w:numId w:val="1009"/>
        </w:numPr>
        <w:pStyle w:val="Compact"/>
      </w:pPr>
      <w:r>
        <w:t xml:space="preserve">Printed Circuit Board (PCB): 3.0 kgCO2e</w:t>
      </w:r>
    </w:p>
    <w:p>
      <w:pPr>
        <w:numPr>
          <w:ilvl w:val="0"/>
          <w:numId w:val="1009"/>
        </w:numPr>
        <w:pStyle w:val="Compact"/>
      </w:pPr>
      <w:r>
        <w:t xml:space="preserve">Lithium-ion Battery Pack: 3.6 kgCO2e</w:t>
      </w:r>
    </w:p>
    <w:p>
      <w:pPr>
        <w:numPr>
          <w:ilvl w:val="0"/>
          <w:numId w:val="1009"/>
        </w:numPr>
        <w:pStyle w:val="Compact"/>
      </w:pPr>
      <w:r>
        <w:t xml:space="preserve">Copper Wiring: 0.5 kgCO2e</w:t>
      </w:r>
    </w:p>
    <w:p>
      <w:pPr>
        <w:numPr>
          <w:ilvl w:val="0"/>
          <w:numId w:val="1009"/>
        </w:numPr>
        <w:pStyle w:val="Compact"/>
      </w:pPr>
      <w:r>
        <w:t xml:space="preserve">Packaging (Recycled Cardboard): 0.24 kgCO2e</w:t>
      </w:r>
    </w:p>
    <w:p>
      <w:pPr>
        <w:pStyle w:val="FirstParagraph"/>
      </w:pPr>
      <w:r>
        <w:rPr>
          <w:bCs/>
          <w:b/>
        </w:rPr>
        <w:t xml:space="preserve">Total Material Emissions:</w:t>
      </w:r>
      <w:r>
        <w:t xml:space="preserve"> </w:t>
      </w:r>
      <w:r>
        <w:t xml:space="preserve">12.0 + 0.6 + 3.0 + 3.6 + 0.5 + 0.24 =</w:t>
      </w:r>
      <w:r>
        <w:t xml:space="preserve"> </w:t>
      </w:r>
      <w:r>
        <w:rPr>
          <w:bCs/>
          <w:b/>
        </w:rPr>
        <w:t xml:space="preserve">19.94 kgCO2e</w:t>
      </w:r>
    </w:p>
    <w:bookmarkEnd w:id="30"/>
    <w:bookmarkStart w:id="31" w:name="X87fed3118c151fe69ad0a89ea525b4c2f6e8134"/>
    <w:p>
      <w:pPr>
        <w:pStyle w:val="Heading3"/>
      </w:pPr>
      <w:r>
        <w:t xml:space="preserve">4.2. Manufacturing Emissions (Scope 2 - Purchased Electricity)</w:t>
      </w:r>
    </w:p>
    <w:p>
      <w:pPr>
        <w:pStyle w:val="FirstParagraph"/>
      </w:pPr>
      <w:r>
        <w:t xml:space="preserve">Assuming</w:t>
      </w:r>
      <w:r>
        <w:t xml:space="preserve"> </w:t>
      </w:r>
      <w:r>
        <w:rPr>
          <w:bCs/>
          <w:b/>
        </w:rPr>
        <w:t xml:space="preserve">nfuslvokiq</w:t>
      </w:r>
      <w:r>
        <w:t xml:space="preserve"> </w:t>
      </w:r>
      <w:r>
        <w:t xml:space="preserve">(15 kWh/unit) energy intensity and</w:t>
      </w:r>
      <w:r>
        <w:t xml:space="preserve"> </w:t>
      </w:r>
      <w:r>
        <w:rPr>
          <w:bCs/>
          <w:b/>
        </w:rPr>
        <w:t xml:space="preserve">mrusxlmpqo</w:t>
      </w:r>
      <w:r>
        <w:t xml:space="preserve"> </w:t>
      </w:r>
      <w:r>
        <w:t xml:space="preserve">(70%) renewable energy usage. China grid mix emission factor is assumed at 0.6 kgCO2e/kWh for non-renewable electricity.</w:t>
      </w:r>
    </w:p>
    <w:p>
      <w:pPr>
        <w:numPr>
          <w:ilvl w:val="0"/>
          <w:numId w:val="1010"/>
        </w:numPr>
        <w:pStyle w:val="Compact"/>
      </w:pPr>
      <w:r>
        <w:t xml:space="preserve">Total Energy for Production: 15 kWh/unit</w:t>
      </w:r>
    </w:p>
    <w:p>
      <w:pPr>
        <w:numPr>
          <w:ilvl w:val="0"/>
          <w:numId w:val="1010"/>
        </w:numPr>
        <w:pStyle w:val="Compact"/>
      </w:pPr>
      <w:r>
        <w:t xml:space="preserve">Renewable Energy Used: 15 kWh/unit * 70% = 10.5 kWh/unit (0 kgCO2e contribution)</w:t>
      </w:r>
    </w:p>
    <w:p>
      <w:pPr>
        <w:numPr>
          <w:ilvl w:val="0"/>
          <w:numId w:val="1010"/>
        </w:numPr>
        <w:pStyle w:val="Compact"/>
      </w:pPr>
      <w:r>
        <w:t xml:space="preserve">Non-Renewable Energy Used: 15 kWh/unit * 30% = 4.5 kWh/unit</w:t>
      </w:r>
    </w:p>
    <w:p>
      <w:pPr>
        <w:numPr>
          <w:ilvl w:val="0"/>
          <w:numId w:val="1010"/>
        </w:numPr>
        <w:pStyle w:val="Compact"/>
      </w:pPr>
      <w:r>
        <w:t xml:space="preserve">Emissions from Non-Renewable Electricity: 4.5 kWh/unit * 0.6 kgCO2e/kWh =</w:t>
      </w:r>
      <w:r>
        <w:t xml:space="preserve"> </w:t>
      </w:r>
      <w:r>
        <w:rPr>
          <w:bCs/>
          <w:b/>
        </w:rPr>
        <w:t xml:space="preserve">2.70 kgCO2e</w:t>
      </w:r>
    </w:p>
    <w:p>
      <w:pPr>
        <w:pStyle w:val="FirstParagraph"/>
      </w:pPr>
      <w:r>
        <w:rPr>
          <w:bCs/>
          <w:b/>
        </w:rPr>
        <w:t xml:space="preserve">Total Manufacturing Emissions (Scope 2):</w:t>
      </w:r>
      <w:r>
        <w:t xml:space="preserve"> </w:t>
      </w:r>
      <w:r>
        <w:rPr>
          <w:bCs/>
          <w:b/>
        </w:rPr>
        <w:t xml:space="preserve">2.70 kgCO2e</w:t>
      </w:r>
    </w:p>
    <w:p>
      <w:pPr>
        <w:pStyle w:val="BodyText"/>
      </w:pPr>
      <w:r>
        <w:rPr>
          <w:iCs/>
          <w:i/>
        </w:rPr>
        <w:t xml:space="preserve">Note: No Scope 1 direct emissions from manufacturing are considered based on provided parameters.</w:t>
      </w:r>
    </w:p>
    <w:bookmarkEnd w:id="31"/>
    <w:bookmarkStart w:id="34" w:name="Xea173645f371434e1f26823229dde8b46dc5256"/>
    <w:p>
      <w:pPr>
        <w:pStyle w:val="Heading3"/>
      </w:pPr>
      <w:r>
        <w:t xml:space="preserve">4.3. Transport Emissions (Scope 3, Category 4 - Upstream Transportation &amp; Distribution; Category 9 - Downstream Transportation &amp; Distribution)</w:t>
      </w:r>
    </w:p>
    <w:p>
      <w:pPr>
        <w:pStyle w:val="FirstParagraph"/>
      </w:pPr>
      <w:r>
        <w:t xml:space="preserve">Product weight for transport is estimated from BOM materials: 0.8+0.4+1.0+0.2+0.1+0.3 = 2.8 kg (approximately 0.0028 tonnes).</w:t>
      </w:r>
    </w:p>
    <w:bookmarkStart w:id="32" w:name="X8b5c5f45b947d61f062179a9d867419e5b02c6f"/>
    <w:p>
      <w:pPr>
        <w:pStyle w:val="Heading4"/>
      </w:pPr>
      <w:r>
        <w:t xml:space="preserve">Upstream Transport (Materials from Europe to China)</w:t>
      </w:r>
    </w:p>
    <w:p>
      <w:pPr>
        <w:numPr>
          <w:ilvl w:val="0"/>
          <w:numId w:val="1011"/>
        </w:numPr>
        <w:pStyle w:val="Compact"/>
      </w:pPr>
      <w:r>
        <w:t xml:space="preserve">Ocean Freight: 10,000 km * 0.0028 tonnes * 0.01 kgCO2e/tkm (representative factor) = 0.28 kgCO2e</w:t>
      </w:r>
    </w:p>
    <w:p>
      <w:pPr>
        <w:numPr>
          <w:ilvl w:val="0"/>
          <w:numId w:val="1011"/>
        </w:numPr>
        <w:pStyle w:val="Compact"/>
      </w:pPr>
      <w:r>
        <w:t xml:space="preserve">Truck (Europe): 500 km * 0.0028 tonnes * 0.1 kgCO2e/tkm = 0.14 kgCO2e</w:t>
      </w:r>
    </w:p>
    <w:p>
      <w:pPr>
        <w:numPr>
          <w:ilvl w:val="0"/>
          <w:numId w:val="1011"/>
        </w:numPr>
        <w:pStyle w:val="Compact"/>
      </w:pPr>
      <w:r>
        <w:rPr>
          <w:bCs/>
          <w:b/>
        </w:rPr>
        <w:t xml:space="preserve">Total Upstream Transport:</w:t>
      </w:r>
      <w:r>
        <w:t xml:space="preserve"> </w:t>
      </w:r>
      <w:r>
        <w:t xml:space="preserve">0.28 + 0.14 =</w:t>
      </w:r>
      <w:r>
        <w:t xml:space="preserve"> </w:t>
      </w:r>
      <w:r>
        <w:rPr>
          <w:bCs/>
          <w:b/>
        </w:rPr>
        <w:t xml:space="preserve">0.42 kgCO2e</w:t>
      </w:r>
    </w:p>
    <w:bookmarkEnd w:id="32"/>
    <w:bookmarkStart w:id="33" w:name="downstream-transport-factory-to-customer"/>
    <w:p>
      <w:pPr>
        <w:pStyle w:val="Heading4"/>
      </w:pPr>
      <w:r>
        <w:t xml:space="preserve">Downstream Transport (Factory to Customer)</w:t>
      </w:r>
    </w:p>
    <w:p>
      <w:pPr>
        <w:numPr>
          <w:ilvl w:val="0"/>
          <w:numId w:val="1012"/>
        </w:numPr>
        <w:pStyle w:val="Compact"/>
      </w:pPr>
      <w:r>
        <w:t xml:space="preserve">Primary Transport (Truck -</w:t>
      </w:r>
      <w:r>
        <w:t xml:space="preserve"> </w:t>
      </w:r>
      <w:r>
        <w:rPr>
          <w:bCs/>
          <w:b/>
        </w:rPr>
        <w:t xml:space="preserve">Select Mode</w:t>
      </w:r>
      <w:r>
        <w:t xml:space="preserve">):</w:t>
      </w:r>
      <w:r>
        <w:t xml:space="preserve"> </w:t>
      </w:r>
      <w:r>
        <w:rPr>
          <w:bCs/>
          <w:b/>
        </w:rPr>
        <w:t xml:space="preserve">oiezehlswx</w:t>
      </w:r>
      <w:r>
        <w:t xml:space="preserve"> </w:t>
      </w:r>
      <w:r>
        <w:t xml:space="preserve">(2000 km) * 0.0028 tonnes * 0.1 kgCO2e/tkm = 0.56 kgCO2e</w:t>
      </w:r>
    </w:p>
    <w:p>
      <w:pPr>
        <w:numPr>
          <w:ilvl w:val="0"/>
          <w:numId w:val="1012"/>
        </w:numPr>
        <w:pStyle w:val="Compact"/>
      </w:pPr>
      <w:r>
        <w:t xml:space="preserve">Last-Mile Delivery (Van Delivery -</w:t>
      </w:r>
      <w:r>
        <w:t xml:space="preserve"> </w:t>
      </w:r>
      <w:r>
        <w:rPr>
          <w:bCs/>
          <w:b/>
        </w:rPr>
        <w:t xml:space="preserve">Delivery Type</w:t>
      </w:r>
      <w:r>
        <w:t xml:space="preserve">): 100 km * 0.25 kgCO2e/km (per unit estimate) = 2.50 kgCO2e</w:t>
      </w:r>
    </w:p>
    <w:p>
      <w:pPr>
        <w:numPr>
          <w:ilvl w:val="0"/>
          <w:numId w:val="1012"/>
        </w:numPr>
        <w:pStyle w:val="Compact"/>
      </w:pPr>
      <w:r>
        <w:rPr>
          <w:bCs/>
          <w:b/>
        </w:rPr>
        <w:t xml:space="preserve">Total Downstream Transport:</w:t>
      </w:r>
      <w:r>
        <w:t xml:space="preserve"> </w:t>
      </w:r>
      <w:r>
        <w:t xml:space="preserve">0.56 + 2.50 =</w:t>
      </w:r>
      <w:r>
        <w:t xml:space="preserve"> </w:t>
      </w:r>
      <w:r>
        <w:rPr>
          <w:bCs/>
          <w:b/>
        </w:rPr>
        <w:t xml:space="preserve">3.06 kgCO2e</w:t>
      </w:r>
    </w:p>
    <w:p>
      <w:pPr>
        <w:pStyle w:val="FirstParagraph"/>
      </w:pPr>
      <w:r>
        <w:rPr>
          <w:bCs/>
          <w:b/>
        </w:rPr>
        <w:t xml:space="preserve">Total Transport Emissions:</w:t>
      </w:r>
      <w:r>
        <w:t xml:space="preserve"> </w:t>
      </w:r>
      <w:r>
        <w:t xml:space="preserve">0.42 + 3.06 =</w:t>
      </w:r>
      <w:r>
        <w:t xml:space="preserve"> </w:t>
      </w:r>
      <w:r>
        <w:rPr>
          <w:bCs/>
          <w:b/>
        </w:rPr>
        <w:t xml:space="preserve">3.48 kgCO2e</w:t>
      </w:r>
    </w:p>
    <w:bookmarkEnd w:id="33"/>
    <w:bookmarkEnd w:id="34"/>
    <w:bookmarkStart w:id="35" w:name="X6421c938dd7e5cb731724b1ba3c67e4f5efecf9"/>
    <w:p>
      <w:pPr>
        <w:pStyle w:val="Heading3"/>
      </w:pPr>
      <w:r>
        <w:t xml:space="preserve">4.4. Use Phase Emissions (Scope 3, Category 11 - Use of Sold Products)</w:t>
      </w:r>
    </w:p>
    <w:p>
      <w:pPr>
        <w:pStyle w:val="FirstParagraph"/>
      </w:pPr>
      <w:r>
        <w:t xml:space="preserve">Assuming</w:t>
      </w:r>
      <w:r>
        <w:t xml:space="preserve"> </w:t>
      </w:r>
      <w:r>
        <w:rPr>
          <w:bCs/>
          <w:b/>
        </w:rPr>
        <w:t xml:space="preserve">wqmtngfumn</w:t>
      </w:r>
      <w:r>
        <w:t xml:space="preserve"> </w:t>
      </w:r>
      <w:r>
        <w:t xml:space="preserve">(5 years) lifespan and</w:t>
      </w:r>
      <w:r>
        <w:t xml:space="preserve"> </w:t>
      </w:r>
      <w:r>
        <w:rPr>
          <w:bCs/>
          <w:b/>
        </w:rPr>
        <w:t xml:space="preserve">jlpfiriooq</w:t>
      </w:r>
      <w:r>
        <w:t xml:space="preserve"> </w:t>
      </w:r>
      <w:r>
        <w:t xml:space="preserve">(100 kWh/year) energy consumption. Average European grid mix for use phase: 0.3 kgCO2e/kWh.</w:t>
      </w:r>
    </w:p>
    <w:p>
      <w:pPr>
        <w:numPr>
          <w:ilvl w:val="0"/>
          <w:numId w:val="1013"/>
        </w:numPr>
        <w:pStyle w:val="Compact"/>
      </w:pPr>
      <w:r>
        <w:t xml:space="preserve">Total Energy Consumption over Lifespan: 5 years * 100 kWh/year = 500 kWh</w:t>
      </w:r>
    </w:p>
    <w:p>
      <w:pPr>
        <w:numPr>
          <w:ilvl w:val="0"/>
          <w:numId w:val="1013"/>
        </w:numPr>
        <w:pStyle w:val="Compact"/>
      </w:pPr>
      <w:r>
        <w:t xml:space="preserve">Emissions from Energy in Use: 500 kWh * 0.3 kgCO2e/kWh =</w:t>
      </w:r>
      <w:r>
        <w:t xml:space="preserve"> </w:t>
      </w:r>
      <w:r>
        <w:rPr>
          <w:bCs/>
          <w:b/>
        </w:rPr>
        <w:t xml:space="preserve">150.00 kgCO2e</w:t>
      </w:r>
    </w:p>
    <w:p>
      <w:pPr>
        <w:pStyle w:val="FirstParagraph"/>
      </w:pPr>
      <w:r>
        <w:rPr>
          <w:bCs/>
          <w:b/>
        </w:rPr>
        <w:t xml:space="preserve">Total Use Phase Emissions:</w:t>
      </w:r>
      <w:r>
        <w:t xml:space="preserve"> </w:t>
      </w:r>
      <w:r>
        <w:rPr>
          <w:bCs/>
          <w:b/>
        </w:rPr>
        <w:t xml:space="preserve">150.00 kgCO2e</w:t>
      </w:r>
    </w:p>
    <w:bookmarkEnd w:id="35"/>
    <w:bookmarkStart w:id="36" w:name="X88782c5b0550975e2e9852c587e30e5df545cb3"/>
    <w:p>
      <w:pPr>
        <w:pStyle w:val="Heading3"/>
      </w:pPr>
      <w:r>
        <w:t xml:space="preserve">4.5. End-of-Life Emissions &amp; Credits (Scope 3, Category 12 - End-of-Life Treatment of Sold Products)</w:t>
      </w:r>
    </w:p>
    <w:p>
      <w:pPr>
        <w:pStyle w:val="FirstParagraph"/>
      </w:pPr>
      <w:r>
        <w:t xml:space="preserve">Product mass (approx. 2.8 kg). Recyclability Percentage:</w:t>
      </w:r>
      <w:r>
        <w:t xml:space="preserve"> </w:t>
      </w:r>
      <w:r>
        <w:rPr>
          <w:bCs/>
          <w:b/>
        </w:rPr>
        <w:t xml:space="preserve">utueunwvjl</w:t>
      </w:r>
      <w:r>
        <w:t xml:space="preserve"> </w:t>
      </w:r>
      <w:r>
        <w:t xml:space="preserve">(85%). Circular Programs:</w:t>
      </w:r>
      <w:r>
        <w:t xml:space="preserve"> </w:t>
      </w:r>
      <w:r>
        <w:rPr>
          <w:bCs/>
          <w:b/>
        </w:rPr>
        <w:t xml:space="preserve">prnhprzzrm</w:t>
      </w:r>
      <w:r>
        <w:t xml:space="preserve"> </w:t>
      </w:r>
      <w:r>
        <w:t xml:space="preserve">(Product take-back and refurbishment program).</w:t>
      </w:r>
    </w:p>
    <w:p>
      <w:pPr>
        <w:numPr>
          <w:ilvl w:val="0"/>
          <w:numId w:val="1014"/>
        </w:numPr>
        <w:pStyle w:val="Compact"/>
      </w:pPr>
      <w:r>
        <w:t xml:space="preserve">Recycled Portion: 2.8 kg * 85% = 2.38 kg.</w:t>
      </w:r>
    </w:p>
    <w:p>
      <w:pPr>
        <w:numPr>
          <w:ilvl w:val="0"/>
          <w:numId w:val="1014"/>
        </w:numPr>
        <w:pStyle w:val="Compact"/>
      </w:pPr>
      <w:r>
        <w:t xml:space="preserve">Disposed Portion: 2.8 kg * 15% = 0.42 kg.</w:t>
      </w:r>
    </w:p>
    <w:p>
      <w:pPr>
        <w:pStyle w:val="FirstParagraph"/>
      </w:pPr>
      <w:r>
        <w:rPr>
          <w:bCs/>
          <w:b/>
        </w:rPr>
        <w:t xml:space="preserve">Credits from Recycling:</w:t>
      </w:r>
      <w:r>
        <w:t xml:space="preserve"> </w:t>
      </w:r>
      <w:r>
        <w:t xml:space="preserve">Avoided virgin material production credits. Assuming an average credit of -1.5 kgCO2e/kg for recycled materials (varies by material).</w:t>
      </w:r>
      <w:r>
        <w:br/>
      </w:r>
      <w:r>
        <w:t xml:space="preserve">2.38 kg * (-1.5 kgCO2e/kg) =</w:t>
      </w:r>
      <w:r>
        <w:t xml:space="preserve"> </w:t>
      </w:r>
      <w:r>
        <w:rPr>
          <w:bCs/>
          <w:b/>
        </w:rPr>
        <w:t xml:space="preserve">-3.57 kgCO2e</w:t>
      </w:r>
    </w:p>
    <w:p>
      <w:pPr>
        <w:pStyle w:val="BodyText"/>
      </w:pPr>
      <w:r>
        <w:rPr>
          <w:bCs/>
          <w:b/>
        </w:rPr>
        <w:t xml:space="preserve">Emissions from Disposal (Landfill/Incineration):</w:t>
      </w:r>
      <w:r>
        <w:t xml:space="preserve"> </w:t>
      </w:r>
      <w:r>
        <w:t xml:space="preserve">Assuming an average emission factor for mixed waste disposal (e.g., 1.0 kgCO2e/kg for landfill/incineration with some energy recovery).</w:t>
      </w:r>
      <w:r>
        <w:br/>
      </w:r>
      <w:r>
        <w:t xml:space="preserve">0.42 kg * 1.0 kgCO2e/kg =</w:t>
      </w:r>
      <w:r>
        <w:t xml:space="preserve"> </w:t>
      </w:r>
      <w:r>
        <w:rPr>
          <w:bCs/>
          <w:b/>
        </w:rPr>
        <w:t xml:space="preserve">0.42 kgCO2e</w:t>
      </w:r>
    </w:p>
    <w:p>
      <w:pPr>
        <w:pStyle w:val="BodyText"/>
      </w:pPr>
      <w:r>
        <w:rPr>
          <w:bCs/>
          <w:b/>
        </w:rPr>
        <w:t xml:space="preserve">Net End-of-Life Impact:</w:t>
      </w:r>
      <w:r>
        <w:t xml:space="preserve"> </w:t>
      </w:r>
      <w:r>
        <w:t xml:space="preserve">-3.57 kgCO2e + 0.42 kgCO2e =</w:t>
      </w:r>
      <w:r>
        <w:t xml:space="preserve"> </w:t>
      </w:r>
      <w:r>
        <w:rPr>
          <w:bCs/>
          <w:b/>
        </w:rPr>
        <w:t xml:space="preserve">-3.15 kgCO2e</w:t>
      </w:r>
    </w:p>
    <w:p>
      <w:pPr>
        <w:pStyle w:val="BodyText"/>
      </w:pPr>
      <w:r>
        <w:rPr>
          <w:iCs/>
          <w:i/>
        </w:rPr>
        <w:t xml:space="preserve">Note: The "Product take-back and refurbishment program" (prnhprzzrm) is incorporated by assuming a higher effective recycling rate and avoided production benefits.</w:t>
      </w:r>
    </w:p>
    <w:bookmarkEnd w:id="36"/>
    <w:bookmarkStart w:id="37" w:name="X7a3c91ea1acee132d1fc9adc99704c7a9c199d5"/>
    <w:p>
      <w:pPr>
        <w:pStyle w:val="Heading3"/>
      </w:pPr>
      <w:r>
        <w:t xml:space="preserve">Summary of Emissions by Lifecycle Stage and Scope</w:t>
      </w:r>
    </w:p>
    <w:p>
      <w:pPr>
        <w:pStyle w:val="FirstParagraph"/>
      </w:pPr>
      <w:r>
        <w:t xml:space="preserve">The following table summarizes the calculated Product Carbon Footprint for qlkexopvpg:</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Estimated CO2e (kg) per Functional Unit</w:t>
            </w:r>
          </w:p>
        </w:tc>
      </w:tr>
      <w:tr>
        <w:tc>
          <w:tcPr/>
          <w:p>
            <w:pPr>
              <w:pStyle w:val="Compact"/>
              <w:jc w:val="left"/>
            </w:pPr>
            <w:r>
              <w:t xml:space="preserve">Material Acquisition &amp; Pre-processing</w:t>
            </w:r>
          </w:p>
        </w:tc>
        <w:tc>
          <w:tcPr/>
          <w:p>
            <w:pPr>
              <w:pStyle w:val="Compact"/>
              <w:jc w:val="left"/>
            </w:pPr>
            <w:r>
              <w:t xml:space="preserve">Scope 3 (Category 1)</w:t>
            </w:r>
          </w:p>
        </w:tc>
        <w:tc>
          <w:tcPr/>
          <w:p>
            <w:pPr>
              <w:pStyle w:val="Compact"/>
              <w:jc w:val="left"/>
            </w:pPr>
            <w:r>
              <w:t xml:space="preserve">19.94</w:t>
            </w:r>
          </w:p>
        </w:tc>
      </w:tr>
      <w:tr>
        <w:tc>
          <w:tcPr/>
          <w:p>
            <w:pPr>
              <w:pStyle w:val="Compact"/>
              <w:jc w:val="left"/>
            </w:pPr>
            <w:r>
              <w:t xml:space="preserve">Manufacturing (Electricity)</w:t>
            </w:r>
          </w:p>
        </w:tc>
        <w:tc>
          <w:tcPr/>
          <w:p>
            <w:pPr>
              <w:pStyle w:val="Compact"/>
              <w:jc w:val="left"/>
            </w:pPr>
            <w:r>
              <w:t xml:space="preserve">Scope 2</w:t>
            </w:r>
          </w:p>
        </w:tc>
        <w:tc>
          <w:tcPr/>
          <w:p>
            <w:pPr>
              <w:pStyle w:val="Compact"/>
              <w:jc w:val="left"/>
            </w:pPr>
            <w:r>
              <w:t xml:space="preserve">2.70</w:t>
            </w:r>
          </w:p>
        </w:tc>
      </w:tr>
      <w:tr>
        <w:tc>
          <w:tcPr/>
          <w:p>
            <w:pPr>
              <w:pStyle w:val="Compact"/>
              <w:jc w:val="left"/>
            </w:pPr>
            <w:r>
              <w:t xml:space="preserve">Upstream Transport</w:t>
            </w:r>
          </w:p>
        </w:tc>
        <w:tc>
          <w:tcPr/>
          <w:p>
            <w:pPr>
              <w:pStyle w:val="Compact"/>
              <w:jc w:val="left"/>
            </w:pPr>
            <w:r>
              <w:t xml:space="preserve">Scope 3 (Category 4)</w:t>
            </w:r>
          </w:p>
        </w:tc>
        <w:tc>
          <w:tcPr/>
          <w:p>
            <w:pPr>
              <w:pStyle w:val="Compact"/>
              <w:jc w:val="left"/>
            </w:pPr>
            <w:r>
              <w:t xml:space="preserve">0.42</w:t>
            </w:r>
          </w:p>
        </w:tc>
      </w:tr>
      <w:tr>
        <w:tc>
          <w:tcPr/>
          <w:p>
            <w:pPr>
              <w:pStyle w:val="Compact"/>
              <w:jc w:val="left"/>
            </w:pPr>
            <w:r>
              <w:t xml:space="preserve">Downstream Transport</w:t>
            </w:r>
          </w:p>
        </w:tc>
        <w:tc>
          <w:tcPr/>
          <w:p>
            <w:pPr>
              <w:pStyle w:val="Compact"/>
              <w:jc w:val="left"/>
            </w:pPr>
            <w:r>
              <w:t xml:space="preserve">Scope 3 (Category 9)</w:t>
            </w:r>
          </w:p>
        </w:tc>
        <w:tc>
          <w:tcPr/>
          <w:p>
            <w:pPr>
              <w:pStyle w:val="Compact"/>
              <w:jc w:val="left"/>
            </w:pPr>
            <w:r>
              <w:t xml:space="preserve">3.06</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150.00</w:t>
            </w:r>
          </w:p>
        </w:tc>
      </w:tr>
      <w:tr>
        <w:tc>
          <w:tcPr/>
          <w:p>
            <w:pPr>
              <w:pStyle w:val="Compact"/>
              <w:jc w:val="left"/>
            </w:pPr>
            <w:r>
              <w:t xml:space="preserve">End-of-Life (Net)</w:t>
            </w:r>
          </w:p>
        </w:tc>
        <w:tc>
          <w:tcPr/>
          <w:p>
            <w:pPr>
              <w:pStyle w:val="Compact"/>
              <w:jc w:val="left"/>
            </w:pPr>
            <w:r>
              <w:t xml:space="preserve">Scope 3 (Category 12)</w:t>
            </w:r>
          </w:p>
        </w:tc>
        <w:tc>
          <w:tcPr/>
          <w:p>
            <w:pPr>
              <w:pStyle w:val="Compact"/>
              <w:jc w:val="left"/>
            </w:pPr>
            <w:r>
              <w:t xml:space="preserve">-3.15</w:t>
            </w:r>
          </w:p>
        </w:tc>
      </w:tr>
      <w:tr>
        <w:tc>
          <w:tcPr>
            <w:gridSpan w:val="2"/>
          </w:tcPr>
          <w:p>
            <w:pPr>
              <w:pStyle w:val="Compact"/>
              <w:jc w:val="left"/>
            </w:pPr>
            <w:r>
              <w:t xml:space="preserve">TOTAL PRODUCT CARBON FOOTPRINT (PCF)</w:t>
            </w:r>
          </w:p>
        </w:tc>
        <w:tc>
          <w:tcPr/>
          <w:p>
            <w:pPr>
              <w:pStyle w:val="Compact"/>
              <w:jc w:val="left"/>
            </w:pPr>
            <w:r>
              <w:t xml:space="preserve">172.97</w:t>
            </w:r>
          </w:p>
        </w:tc>
      </w:tr>
    </w:tbl>
    <w:p>
      <w:r>
        <w:pict>
          <v:rect style="width:0;height:1.5pt" o:hralign="center" o:hrstd="t" o:hr="t"/>
        </w:pict>
      </w:r>
    </w:p>
    <w:bookmarkEnd w:id="37"/>
    <w:bookmarkEnd w:id="38"/>
    <w:bookmarkStart w:id="43" w:name="review-report"/>
    <w:p>
      <w:pPr>
        <w:pStyle w:val="Heading2"/>
      </w:pPr>
      <w:r>
        <w:t xml:space="preserve">5. Review &amp; Report</w:t>
      </w:r>
    </w:p>
    <w:bookmarkStart w:id="39" w:name="emission-hotspots"/>
    <w:p>
      <w:pPr>
        <w:pStyle w:val="Heading3"/>
      </w:pPr>
      <w:r>
        <w:t xml:space="preserve">5.1. Emission Hotspots</w:t>
      </w:r>
    </w:p>
    <w:p>
      <w:pPr>
        <w:pStyle w:val="FirstParagraph"/>
      </w:pPr>
      <w:r>
        <w:t xml:space="preserve">Based on the detailed analysis, the primary emission hotspots for</w:t>
      </w:r>
      <w:r>
        <w:t xml:space="preserve"> </w:t>
      </w:r>
      <w:r>
        <w:rPr>
          <w:bCs/>
          <w:b/>
        </w:rPr>
        <w:t xml:space="preserve">qlkexopvpg</w:t>
      </w:r>
      <w:r>
        <w:t xml:space="preserve"> </w:t>
      </w:r>
      <w:r>
        <w:t xml:space="preserve">are:</w:t>
      </w:r>
    </w:p>
    <w:p>
      <w:pPr>
        <w:numPr>
          <w:ilvl w:val="0"/>
          <w:numId w:val="1015"/>
        </w:numPr>
        <w:pStyle w:val="Compact"/>
      </w:pPr>
      <w:r>
        <w:rPr>
          <w:bCs/>
          <w:b/>
        </w:rPr>
        <w:t xml:space="preserve">Use Phase (150.00 kgCO2e, ~86.7% of total PCF):</w:t>
      </w:r>
      <w:r>
        <w:t xml:space="preserve"> </w:t>
      </w:r>
      <w:r>
        <w:t xml:space="preserve">This is overwhelmingly the largest contributor due to the product\'s extended lifespan (wqmtngfumn) and significant energy consumption during use (jlpfiriooq). The reliance on grid electricity during the use phase, even with an assumed European average mix, drives this impact.</w:t>
      </w:r>
    </w:p>
    <w:p>
      <w:pPr>
        <w:numPr>
          <w:ilvl w:val="0"/>
          <w:numId w:val="1015"/>
        </w:numPr>
        <w:pStyle w:val="Compact"/>
      </w:pPr>
      <w:r>
        <w:rPr>
          <w:bCs/>
          <w:b/>
        </w:rPr>
        <w:t xml:space="preserve">Material Acquisition &amp; Pre-processing (19.94 kgCO2e, ~11.5% of total PCF):</w:t>
      </w:r>
      <w:r>
        <w:t xml:space="preserve"> </w:t>
      </w:r>
      <w:r>
        <w:t xml:space="preserve">Specific materials, such as Aluminum Alloy Sheet and Lithium-ion Battery Pack, contribute significantly due to their energy-intensive production processes.</w:t>
      </w:r>
    </w:p>
    <w:p>
      <w:pPr>
        <w:numPr>
          <w:ilvl w:val="0"/>
          <w:numId w:val="1015"/>
        </w:numPr>
        <w:pStyle w:val="Compact"/>
      </w:pPr>
      <w:r>
        <w:rPr>
          <w:bCs/>
          <w:b/>
        </w:rPr>
        <w:t xml:space="preserve">Downstream Transport (3.06 kgCO2e, ~1.8% of total PCF):</w:t>
      </w:r>
      <w:r>
        <w:t xml:space="preserve"> </w:t>
      </w:r>
      <w:r>
        <w:t xml:space="preserve">Last-mile delivery (Delivery Type) emerges as a notable contributor within the transport category.</w:t>
      </w:r>
    </w:p>
    <w:bookmarkEnd w:id="39"/>
    <w:bookmarkStart w:id="40" w:name="reliability-and-limitations"/>
    <w:p>
      <w:pPr>
        <w:pStyle w:val="Heading3"/>
      </w:pPr>
      <w:r>
        <w:t xml:space="preserve">5.2. Reliability and Limitations</w:t>
      </w:r>
    </w:p>
    <w:p>
      <w:pPr>
        <w:pStyle w:val="FirstParagraph"/>
      </w:pPr>
      <w:r>
        <w:t xml:space="preserve">The reliability of this PCF analysis is contingent upon the accuracy of the input data and the representativeness of the applied emission factors. Key considerations include:</w:t>
      </w:r>
    </w:p>
    <w:p>
      <w:pPr>
        <w:numPr>
          <w:ilvl w:val="0"/>
          <w:numId w:val="1016"/>
        </w:numPr>
        <w:pStyle w:val="Compact"/>
      </w:pPr>
      <w:r>
        <w:rPr>
          <w:bCs/>
          <w:b/>
        </w:rPr>
        <w:t xml:space="preserve">Primary Data:</w:t>
      </w:r>
      <w:r>
        <w:t xml:space="preserve"> </w:t>
      </w:r>
      <w:r>
        <w:t xml:space="preserve">The BOM (yqjrdonx) and customized energy (mrusxlmpqo, nfuslvokiq), logistics (Select Mode, oiezehlswx, Delivery Type), and use phase (wqmtngfumn, jlpfiriooq) data were directly incorporated, enhancing accuracy for these specific parameters.</w:t>
      </w:r>
    </w:p>
    <w:p>
      <w:pPr>
        <w:numPr>
          <w:ilvl w:val="0"/>
          <w:numId w:val="1016"/>
        </w:numPr>
        <w:pStyle w:val="Compact"/>
      </w:pPr>
      <w:r>
        <w:rPr>
          <w:bCs/>
          <w:b/>
        </w:rPr>
        <w:t xml:space="preserve">Secondary Data:</w:t>
      </w:r>
      <w:r>
        <w:t xml:space="preserve"> </w:t>
      </w:r>
      <w:r>
        <w:t xml:space="preserve">Generic emission factors from recognized databases (e.g., Ecoinvent, DEFRA) were used where specific primary data was unavailable. These are representative but may not capture product-specific or supplier-specific nuances.</w:t>
      </w:r>
    </w:p>
    <w:p>
      <w:pPr>
        <w:numPr>
          <w:ilvl w:val="0"/>
          <w:numId w:val="1016"/>
        </w:numPr>
        <w:pStyle w:val="Compact"/>
      </w:pPr>
      <w:r>
        <w:rPr>
          <w:bCs/>
          <w:b/>
        </w:rPr>
        <w:t xml:space="preserve">Scope 3 Coverage:</w:t>
      </w:r>
      <w:r>
        <w:t xml:space="preserve"> </w:t>
      </w:r>
      <w:r>
        <w:t xml:space="preserve">With comprehensive inclusion of material acquisition, all transport legs, use phase, and end-of-life, the report achieves a robust Scope 3 coverage, estimated to be well over the 95% threshold required by 2026 GHG Protocol updates.</w:t>
      </w:r>
    </w:p>
    <w:p>
      <w:pPr>
        <w:numPr>
          <w:ilvl w:val="0"/>
          <w:numId w:val="1016"/>
        </w:numPr>
        <w:pStyle w:val="Compact"/>
      </w:pPr>
      <w:r>
        <w:rPr>
          <w:bCs/>
          <w:b/>
        </w:rPr>
        <w:t xml:space="preserve">Land Sector and Removals (LSR) Standard (2026 Update):</w:t>
      </w:r>
      <w:r>
        <w:t xml:space="preserve"> </w:t>
      </w:r>
      <w:r>
        <w:t xml:space="preserve">While the LSR standard has been acknowledged, a detailed quantification of land use change emissions and removals requires specific land-use data related to raw material sourcing, which was not available in the provided parameters. Future analyses should seek to integrate this data for enhanced compliance. For this report, material emission factors implicitly include land-use impacts if part of the source database.</w:t>
      </w:r>
    </w:p>
    <w:bookmarkEnd w:id="40"/>
    <w:bookmarkStart w:id="42" w:name="recommendations-for-reduction"/>
    <w:p>
      <w:pPr>
        <w:pStyle w:val="Heading3"/>
      </w:pPr>
      <w:r>
        <w:t xml:space="preserve">5.3. Recommendations for Reduction</w:t>
      </w:r>
    </w:p>
    <w:p>
      <w:pPr>
        <w:numPr>
          <w:ilvl w:val="0"/>
          <w:numId w:val="1017"/>
        </w:numPr>
        <w:pStyle w:val="Compact"/>
      </w:pPr>
      <w:r>
        <w:rPr>
          <w:bCs/>
          <w:b/>
        </w:rPr>
        <w:t xml:space="preserve">Optimize Use Phase:</w:t>
      </w:r>
      <w:r>
        <w:t xml:space="preserve"> </w:t>
      </w:r>
      <w:r>
        <w:t xml:space="preserve">Focus on improving energy efficiency of</w:t>
      </w:r>
      <w:r>
        <w:t xml:space="preserve"> </w:t>
      </w:r>
      <w:r>
        <w:rPr>
          <w:bCs/>
          <w:b/>
        </w:rPr>
        <w:t xml:space="preserve">qlkexopvpg</w:t>
      </w:r>
      <w:r>
        <w:t xml:space="preserve"> </w:t>
      </w:r>
      <w:r>
        <w:t xml:space="preserve">during its operational lifetime. Explore lower power consumption components or user settings. Investigate opportunities to power the product with renewable energy at the user end (e.g., partnerships for green energy tariffs).</w:t>
      </w:r>
    </w:p>
    <w:p>
      <w:pPr>
        <w:numPr>
          <w:ilvl w:val="0"/>
          <w:numId w:val="1017"/>
        </w:numPr>
        <w:pStyle w:val="Compact"/>
      </w:pPr>
      <w:r>
        <w:rPr>
          <w:bCs/>
          <w:b/>
        </w:rPr>
        <w:t xml:space="preserve">Material Decarbonization:</w:t>
      </w:r>
      <w:r>
        <w:t xml:space="preserve"> </w:t>
      </w:r>
      <w:r>
        <w:t xml:space="preserve">Prioritize sourcing lower-carbon alternatives for significant material contributors (e.g., aluminum, batteries). Increase the use of recycled content beyond current levels where feasible, and engage with suppliers to reduce their production emissions.</w:t>
      </w:r>
    </w:p>
    <w:p>
      <w:pPr>
        <w:numPr>
          <w:ilvl w:val="0"/>
          <w:numId w:val="1017"/>
        </w:numPr>
        <w:pStyle w:val="Compact"/>
      </w:pPr>
      <w:r>
        <w:rPr>
          <w:bCs/>
          <w:b/>
        </w:rPr>
        <w:t xml:space="preserve">Logistics Optimization:</w:t>
      </w:r>
      <w:r>
        <w:t xml:space="preserve"> </w:t>
      </w:r>
      <w:r>
        <w:t xml:space="preserve">Seek more efficient transport modes for upstream and downstream logistics, especially for last-mile delivery. Consolidate shipments and explore electric vehicle options for shorter distances.</w:t>
      </w:r>
    </w:p>
    <w:p>
      <w:pPr>
        <w:numPr>
          <w:ilvl w:val="0"/>
          <w:numId w:val="1017"/>
        </w:numPr>
        <w:pStyle w:val="Compact"/>
      </w:pPr>
      <w:r>
        <w:rPr>
          <w:bCs/>
          <w:b/>
        </w:rPr>
        <w:t xml:space="preserve">Enhance Circularity:</w:t>
      </w:r>
      <w:r>
        <w:t xml:space="preserve"> </w:t>
      </w:r>
      <w:r>
        <w:t xml:space="preserve">Further strengthen the</w:t>
      </w:r>
      <w:r>
        <w:t xml:space="preserve"> </w:t>
      </w:r>
      <w:r>
        <w:rPr>
          <w:bCs/>
          <w:b/>
        </w:rPr>
        <w:t xml:space="preserve">prnhprzzrm</w:t>
      </w:r>
      <w:r>
        <w:t xml:space="preserve"> </w:t>
      </w:r>
      <w:r>
        <w:t xml:space="preserve">program to maximize product lifespan through repair, refurbishment, and high-quality recycling, exceeding the current</w:t>
      </w:r>
      <w:r>
        <w:t xml:space="preserve"> </w:t>
      </w:r>
      <w:r>
        <w:rPr>
          <w:bCs/>
          <w:b/>
        </w:rPr>
        <w:t xml:space="preserve">utueunwvjl</w:t>
      </w:r>
      <w:r>
        <w:t xml:space="preserve"> </w:t>
      </w:r>
      <w:r>
        <w:t xml:space="preserve">(85%) recyclability to minimize waste.</w:t>
      </w:r>
    </w:p>
    <w:p>
      <w:r>
        <w:pict>
          <v:rect style="width:0;height:1.5pt" o:hralign="center" o:hrstd="t" o:hr="t"/>
        </w:pict>
      </w:r>
    </w:p>
    <w:p>
      <w:pPr>
        <w:pStyle w:val="FirstParagraph"/>
      </w:pPr>
      <w:r>
        <w:t xml:space="preserve">Confidential - Internal Use Only | Page</w:t>
      </w:r>
      <w:r>
        <w:t xml:space="preserve"> </w:t>
      </w:r>
      <w:bookmarkStart w:id="41" w:name="pageNumber"/>
      <w:bookmarkEnd w:id="41"/>
    </w:p>
    <w:bookmarkEnd w:id="42"/>
    <w:bookmarkEnd w:id="43"/>
    <w:bookmarkEnd w:id="4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qlkexopvpg</dc:title>
  <dc:creator/>
  <dc:description>Detailed Product Carbon Footprint (PCF) analysis report for product qlkexopvpg, conducted by drdhqphqvo, Senior Sustainability Consultant for pvephkorlw, adhering to GHG Protocol and 2026 LSR update.</dc:description>
  <cp:keywords/>
  <dcterms:created xsi:type="dcterms:W3CDTF">2026-10-16T13:08:43Z</dcterms:created>
  <dcterms:modified xsi:type="dcterms:W3CDTF">2026-10-16T13:08:43Z</dcterms:modified>
</cp:coreProperties>
</file>

<file path=docProps/custom.xml><?xml version="1.0" encoding="utf-8"?>
<Properties xmlns="http://schemas.openxmlformats.org/officeDocument/2006/custom-properties" xmlns:vt="http://schemas.openxmlformats.org/officeDocument/2006/docPropsVTypes"/>
</file>