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qkxltoxyqm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qkxltoxyqm</w:t>
      </w:r>
    </w:p>
    <w:p>
      <w:pPr>
        <w:pStyle w:val="BodyText"/>
      </w:pPr>
      <w:r>
        <w:t xml:space="preserve">Company: ntrthingiu</w:t>
      </w:r>
    </w:p>
    <w:p>
      <w:pPr>
        <w:pStyle w:val="BodyText"/>
      </w:pPr>
      <w:r>
        <w:t xml:space="preserve">Senior Sustainability Consultant: mhnosfjxit</w:t>
      </w:r>
    </w:p>
    <w:p>
      <w:pPr>
        <w:pStyle w:val="BodyText"/>
      </w:pPr>
      <w:r>
        <w:t xml:space="preserve">Accounting Standard: GHG Protocol</w:t>
      </w:r>
    </w:p>
    <w:p>
      <w:pPr>
        <w:pStyle w:val="BodyText"/>
      </w:pPr>
      <w:r>
        <w:rPr>
          <w:iCs/>
          <w:i/>
        </w:rPr>
        <w:t xml:space="preserve">This report is generated based on available data and industry standards. Illustrative data has been used where specific numerical values for parameters were not explicitly provided in the prompt.</w:t>
      </w:r>
    </w:p>
    <w:bookmarkEnd w:id="20"/>
    <w:bookmarkStart w:id="48" w:name="X10be52ade45374db613fa5625996d468b82e8d6"/>
    <w:p>
      <w:pPr>
        <w:pStyle w:val="Heading1"/>
      </w:pPr>
      <w:r>
        <w:t xml:space="preserve">Product Carbon Footprint Analysis Report for qkxltoxyqm</w:t>
      </w:r>
    </w:p>
    <w:p>
      <w:pPr>
        <w:pStyle w:val="FirstParagraph"/>
      </w:pPr>
      <w:r>
        <w:t xml:space="preserve">Generated Date: Thursday, 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"qkxltoxyqm", manufactured by ntrthingiu. The analysis, conducted by mhnosfjxit, Senior Sustainability Consultant, adheres strictly to the GHG Protocol standards, including the 2026 Land Sector and Removals (LSR) update and aims for at least 95% coverage for Scope 3 emissions. The goal is to quantify the greenhouse gas (GHG) emissions across the product\'s lifecycle, identify key hotspots, and provide a foundation for targeted reduction strategies.</w:t>
      </w:r>
    </w:p>
    <w:p>
      <w:r>
        <w:pict>
          <v:rect style="width:0;height:1.5pt" o:hralign="center" o:hrstd="t" o:hr="t"/>
        </w:pict>
      </w:r>
    </w:p>
    <w:bookmarkEnd w:id="21"/>
    <w:bookmarkStart w:id="27" w:name="definition-of-scope"/>
    <w:p>
      <w:pPr>
        <w:pStyle w:val="Heading2"/>
      </w:pPr>
      <w:r>
        <w:t xml:space="preserve">1. Definition of Scope</w:t>
      </w:r>
    </w:p>
    <w:bookmarkStart w:id="22"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qkxltoxyqm</w:t>
      </w:r>
      <w:r>
        <w:t xml:space="preserve">.</w:t>
      </w:r>
    </w:p>
    <w:bookmarkEnd w:id="22"/>
    <w:bookmarkStart w:id="23" w:name="system-boundary"/>
    <w:p>
      <w:pPr>
        <w:pStyle w:val="Heading3"/>
      </w:pPr>
      <w:r>
        <w:t xml:space="preserve">System Boundary:</w:t>
      </w:r>
    </w:p>
    <w:p>
      <w:pPr>
        <w:pStyle w:val="FirstParagraph"/>
      </w:pPr>
      <w:r>
        <w:t xml:space="preserve">The system boundary for this PCF is</w:t>
      </w:r>
      <w:r>
        <w:t xml:space="preserve"> </w:t>
      </w:r>
      <w:r>
        <w:rPr>
          <w:bCs/>
          <w:b/>
        </w:rPr>
        <w:t xml:space="preserve">"factory_gate"</w:t>
      </w:r>
      <w:r>
        <w:t xml:space="preserve">, encompassing all processes from raw material acquisition (cradle) up to the point where the finished product leaves the factory gate, including production, and inbound logistics. Additionally, the analysis extends to include the use phase and end-of-life treatment to provide a comprehensive cradle-to-grave perspective for Scope 3 reporting.</w:t>
      </w:r>
    </w:p>
    <w:bookmarkEnd w:id="23"/>
    <w:bookmarkStart w:id="24" w:name="geographic-scope"/>
    <w:p>
      <w:pPr>
        <w:pStyle w:val="Heading3"/>
      </w:pPr>
      <w:r>
        <w:t xml:space="preserve">Geographic Scope:</w:t>
      </w:r>
    </w:p>
    <w:p>
      <w:pPr>
        <w:pStyle w:val="FirstParagraph"/>
      </w:pPr>
      <w:r>
        <w:t xml:space="preserve">The final production country for qkxltoxyqm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distribution and use.</w:t>
      </w:r>
    </w:p>
    <w:bookmarkEnd w:id="24"/>
    <w:bookmarkStart w:id="25"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w:t>
      </w:r>
      <w:r>
        <w:t xml:space="preserve">, ensuring emissions are categorized into Scope 1 (direct emissions), Scope 2 (purchased energy emissions), and Scope 3 (value chain emissions).</w:t>
      </w:r>
    </w:p>
    <w:bookmarkEnd w:id="25"/>
    <w:bookmarkStart w:id="26" w:name="allocation"/>
    <w:p>
      <w:pPr>
        <w:pStyle w:val="Heading3"/>
      </w:pPr>
      <w:r>
        <w:t xml:space="preserve">Allocation:</w:t>
      </w:r>
    </w:p>
    <w:p>
      <w:pPr>
        <w:pStyle w:val="FirstParagraph"/>
      </w:pPr>
      <w:r>
        <w:t xml:space="preserve">Emissions are allocated to the functional unit based on a mass-based approach for material inputs and direct energy consumption per unit of product, where applicable.</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across the product\'s lifecycle, incorporating the provided parameters for materials, energy, and logistics. Illustrative numerical values have been used for some parameters where specific data was not provided in the prompt.</w:t>
      </w:r>
    </w:p>
    <w:bookmarkStart w:id="28" w:name="X89c414da65af892f6eb45289249eceeb5d29d05"/>
    <w:p>
      <w:pPr>
        <w:pStyle w:val="Heading3"/>
      </w:pPr>
      <w:r>
        <w:t xml:space="preserve">Detailed Bill of Materials (BOM) for qkxltoxyqm</w:t>
      </w:r>
    </w:p>
    <w:p>
      <w:pPr>
        <w:pStyle w:val="FirstParagraph"/>
      </w:pPr>
      <w:r>
        <w:t xml:space="preserve">The following detailed Bill of Materials (BOM)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102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t xml:space="preserve">Total raw material input mass (approximate) = 0.5 kg + 0.3 kg + 0.1 kg + 0.05 kg = 0.95 kg (approximately 1.0 kg for transport calculations).</w:t>
      </w:r>
    </w:p>
    <w:bookmarkEnd w:id="28"/>
    <w:bookmarkStart w:id="29" w:name="energy-inputs-production-phase---china"/>
    <w:p>
      <w:pPr>
        <w:pStyle w:val="Heading3"/>
      </w:pPr>
      <w:r>
        <w:t xml:space="preserve">Energy Inputs (Production Phase - China)</w:t>
      </w:r>
    </w:p>
    <w:p>
      <w:pPr>
        <w:numPr>
          <w:ilvl w:val="0"/>
          <w:numId w:val="1001"/>
        </w:numPr>
        <w:pStyle w:val="Compact"/>
      </w:pPr>
      <w:r>
        <w:t xml:space="preserve">Energy Intensity (kWh/unit):</w:t>
      </w:r>
      <w:r>
        <w:t xml:space="preserve"> </w:t>
      </w:r>
      <w:r>
        <w:rPr>
          <w:bCs/>
          <w:b/>
        </w:rPr>
        <w:t xml:space="preserve">15 kWh/unit</w:t>
      </w:r>
      <w:r>
        <w:t xml:space="preserve"> </w:t>
      </w:r>
      <w:r>
        <w:t xml:space="preserve">(ypokvnimim)</w:t>
      </w:r>
    </w:p>
    <w:p>
      <w:pPr>
        <w:numPr>
          <w:ilvl w:val="0"/>
          <w:numId w:val="1001"/>
        </w:numPr>
        <w:pStyle w:val="Compact"/>
      </w:pPr>
      <w:r>
        <w:t xml:space="preserve">Renewable Energy Usage:</w:t>
      </w:r>
      <w:r>
        <w:t xml:space="preserve"> </w:t>
      </w:r>
      <w:r>
        <w:rPr>
          <w:bCs/>
          <w:b/>
        </w:rPr>
        <w:t xml:space="preserve">40%</w:t>
      </w:r>
      <w:r>
        <w:t xml:space="preserve"> </w:t>
      </w:r>
      <w:r>
        <w:t xml:space="preserve">(gsnnfhftei)</w:t>
      </w:r>
    </w:p>
    <w:bookmarkEnd w:id="29"/>
    <w:bookmarkStart w:id="30" w:name="logistics-data-supply-chain"/>
    <w:p>
      <w:pPr>
        <w:pStyle w:val="Heading3"/>
      </w:pPr>
      <w:r>
        <w:t xml:space="preserve">Logistics Data (Supply Chain)</w:t>
      </w:r>
    </w:p>
    <w:p>
      <w:pPr>
        <w:numPr>
          <w:ilvl w:val="0"/>
          <w:numId w:val="1002"/>
        </w:numPr>
        <w:pStyle w:val="Compact"/>
      </w:pPr>
      <w:r>
        <w:t xml:space="preserve">Upstream Transport (Raw Materials to China Factory):</w:t>
      </w:r>
    </w:p>
    <w:p>
      <w:pPr>
        <w:numPr>
          <w:ilvl w:val="1"/>
          <w:numId w:val="1003"/>
        </w:numPr>
        <w:pStyle w:val="Compact"/>
      </w:pPr>
      <w:r>
        <w:t xml:space="preserve">Transport Mode:</w:t>
      </w:r>
      <w:r>
        <w:t xml:space="preserve"> </w:t>
      </w:r>
      <w:r>
        <w:rPr>
          <w:bCs/>
          <w:b/>
        </w:rPr>
        <w:t xml:space="preserve">Ocean Freight</w:t>
      </w:r>
      <w:r>
        <w:t xml:space="preserve"> </w:t>
      </w:r>
      <w:r>
        <w:t xml:space="preserve">(Select Mode)</w:t>
      </w:r>
    </w:p>
    <w:p>
      <w:pPr>
        <w:numPr>
          <w:ilvl w:val="1"/>
          <w:numId w:val="1003"/>
        </w:numPr>
        <w:pStyle w:val="Compact"/>
      </w:pPr>
      <w:r>
        <w:t xml:space="preserve">Transport Distance:</w:t>
      </w:r>
      <w:r>
        <w:t xml:space="preserve"> </w:t>
      </w:r>
      <w:r>
        <w:rPr>
          <w:bCs/>
          <w:b/>
        </w:rPr>
        <w:t xml:space="preserve">15000 km</w:t>
      </w:r>
      <w:r>
        <w:t xml:space="preserve"> </w:t>
      </w:r>
      <w:r>
        <w:t xml:space="preserve">(tiwyfsnnyg)</w:t>
      </w:r>
    </w:p>
    <w:p>
      <w:pPr>
        <w:numPr>
          <w:ilvl w:val="0"/>
          <w:numId w:val="1002"/>
        </w:numPr>
        <w:pStyle w:val="Compact"/>
      </w:pPr>
      <w:r>
        <w:t xml:space="preserve">Midstream Transport (China Factory to Europe Distribution Hub):</w:t>
      </w:r>
    </w:p>
    <w:p>
      <w:pPr>
        <w:numPr>
          <w:ilvl w:val="1"/>
          <w:numId w:val="1004"/>
        </w:numPr>
        <w:pStyle w:val="Compact"/>
      </w:pPr>
      <w:r>
        <w:t xml:space="preserve">Transport Mode:</w:t>
      </w:r>
      <w:r>
        <w:t xml:space="preserve"> </w:t>
      </w:r>
      <w:r>
        <w:rPr>
          <w:bCs/>
          <w:b/>
        </w:rPr>
        <w:t xml:space="preserve">Road Freight - HGV</w:t>
      </w:r>
      <w:r>
        <w:t xml:space="preserve"> </w:t>
      </w:r>
      <w:r>
        <w:t xml:space="preserve">(Select Mode)</w:t>
      </w:r>
    </w:p>
    <w:p>
      <w:pPr>
        <w:numPr>
          <w:ilvl w:val="1"/>
          <w:numId w:val="1004"/>
        </w:numPr>
        <w:pStyle w:val="Compact"/>
      </w:pPr>
      <w:r>
        <w:t xml:space="preserve">Transport Distance:</w:t>
      </w:r>
      <w:r>
        <w:t xml:space="preserve"> </w:t>
      </w:r>
      <w:r>
        <w:rPr>
          <w:bCs/>
          <w:b/>
        </w:rPr>
        <w:t xml:space="preserve">1000 km</w:t>
      </w:r>
      <w:r>
        <w:t xml:space="preserve"> </w:t>
      </w:r>
      <w:r>
        <w:t xml:space="preserve">(tiwyfsnnyg)</w:t>
      </w:r>
    </w:p>
    <w:p>
      <w:pPr>
        <w:numPr>
          <w:ilvl w:val="0"/>
          <w:numId w:val="1002"/>
        </w:numPr>
        <w:pStyle w:val="Compact"/>
      </w:pPr>
      <w:r>
        <w:t xml:space="preserve">Last-Mile Delivery Channel (Europe Distribution Hub to End-Customer):</w:t>
      </w:r>
    </w:p>
    <w:p>
      <w:pPr>
        <w:numPr>
          <w:ilvl w:val="1"/>
          <w:numId w:val="1005"/>
        </w:numPr>
        <w:pStyle w:val="Compact"/>
      </w:pPr>
      <w:r>
        <w:t xml:space="preserve">Delivery Type:</w:t>
      </w:r>
      <w:r>
        <w:t xml:space="preserve"> </w:t>
      </w:r>
      <w:r>
        <w:rPr>
          <w:bCs/>
          <w:b/>
        </w:rPr>
        <w:t xml:space="preserve">Light Commercial Vehicle</w:t>
      </w:r>
      <w:r>
        <w:t xml:space="preserve"> </w:t>
      </w:r>
      <w:r>
        <w:t xml:space="preserve">(Delivery Type)</w:t>
      </w:r>
    </w:p>
    <w:p>
      <w:pPr>
        <w:numPr>
          <w:ilvl w:val="1"/>
          <w:numId w:val="1005"/>
        </w:numPr>
        <w:pStyle w:val="Compact"/>
      </w:pPr>
      <w:r>
        <w:t xml:space="preserve">Assumed Last-Mile Distance:</w:t>
      </w:r>
      <w:r>
        <w:t xml:space="preserve"> </w:t>
      </w:r>
      <w:r>
        <w:rPr>
          <w:bCs/>
          <w:b/>
        </w:rPr>
        <w:t xml:space="preserve">100 km</w:t>
      </w:r>
      <w:r>
        <w:t xml:space="preserve"> </w:t>
      </w:r>
      <w:r>
        <w:t xml:space="preserve">(illustrative)</w:t>
      </w:r>
    </w:p>
    <w:bookmarkEnd w:id="30"/>
    <w:bookmarkStart w:id="31" w:name="use-phase-data"/>
    <w:p>
      <w:pPr>
        <w:pStyle w:val="Heading3"/>
      </w:pPr>
      <w:r>
        <w:t xml:space="preserve">Use Phase Data</w:t>
      </w:r>
    </w:p>
    <w:p>
      <w:pPr>
        <w:numPr>
          <w:ilvl w:val="0"/>
          <w:numId w:val="1006"/>
        </w:numPr>
        <w:pStyle w:val="Compact"/>
      </w:pPr>
      <w:r>
        <w:t xml:space="preserve">Product Lifespan:</w:t>
      </w:r>
      <w:r>
        <w:t xml:space="preserve"> </w:t>
      </w:r>
      <w:r>
        <w:rPr>
          <w:bCs/>
          <w:b/>
        </w:rPr>
        <w:t xml:space="preserve">5 years</w:t>
      </w:r>
      <w:r>
        <w:t xml:space="preserve"> </w:t>
      </w:r>
      <w:r>
        <w:t xml:space="preserve">(xlsygitpvy)</w:t>
      </w:r>
    </w:p>
    <w:p>
      <w:pPr>
        <w:numPr>
          <w:ilvl w:val="0"/>
          <w:numId w:val="1006"/>
        </w:numPr>
        <w:pStyle w:val="Compact"/>
      </w:pPr>
      <w:r>
        <w:t xml:space="preserve">Energy Consumption in Use:</w:t>
      </w:r>
      <w:r>
        <w:t xml:space="preserve"> </w:t>
      </w:r>
      <w:r>
        <w:rPr>
          <w:bCs/>
          <w:b/>
        </w:rPr>
        <w:t xml:space="preserve">10 kWh/year</w:t>
      </w:r>
      <w:r>
        <w:t xml:space="preserve"> </w:t>
      </w:r>
      <w:r>
        <w:t xml:space="preserve">(duqnqtzekh)</w:t>
      </w:r>
    </w:p>
    <w:bookmarkEnd w:id="31"/>
    <w:bookmarkStart w:id="32" w:name="end-of-life-eol-scenarios"/>
    <w:p>
      <w:pPr>
        <w:pStyle w:val="Heading3"/>
      </w:pPr>
      <w:r>
        <w:t xml:space="preserve">End-of-Life (EoL) Scenarios</w:t>
      </w:r>
    </w:p>
    <w:p>
      <w:pPr>
        <w:numPr>
          <w:ilvl w:val="0"/>
          <w:numId w:val="1007"/>
        </w:numPr>
        <w:pStyle w:val="Compact"/>
      </w:pPr>
      <w:r>
        <w:t xml:space="preserve">Recyclability Percentage:</w:t>
      </w:r>
      <w:r>
        <w:t xml:space="preserve"> </w:t>
      </w:r>
      <w:r>
        <w:rPr>
          <w:bCs/>
          <w:b/>
        </w:rPr>
        <w:t xml:space="preserve">70%</w:t>
      </w:r>
      <w:r>
        <w:t xml:space="preserve"> </w:t>
      </w:r>
      <w:r>
        <w:t xml:space="preserve">(msddlwwdtf)</w:t>
      </w:r>
    </w:p>
    <w:p>
      <w:pPr>
        <w:numPr>
          <w:ilvl w:val="0"/>
          <w:numId w:val="1007"/>
        </w:numPr>
        <w:pStyle w:val="Compact"/>
      </w:pPr>
      <w:r>
        <w:t xml:space="preserve">Circular/Take-back Programs:</w:t>
      </w:r>
      <w:r>
        <w:t xml:space="preserve"> </w:t>
      </w:r>
      <w:r>
        <w:rPr>
          <w:bCs/>
          <w:b/>
        </w:rPr>
        <w:t xml:space="preserve">Yes, formal program in place</w:t>
      </w:r>
      <w:r>
        <w:t xml:space="preserve"> </w:t>
      </w:r>
      <w:r>
        <w:t xml:space="preserve">(gfjvyzffwn)</w:t>
      </w:r>
    </w:p>
    <w:p>
      <w:r>
        <w:pict>
          <v:rect style="width:0;height:1.5pt" o:hralign="center" o:hrstd="t" o:hr="t"/>
        </w:pict>
      </w:r>
    </w:p>
    <w:bookmarkEnd w:id="32"/>
    <w:bookmarkEnd w:id="33"/>
    <w:bookmarkStart w:id="43" w:name="X2c62247db19834934c44c209ad423fe06ba5c64"/>
    <w:p>
      <w:pPr>
        <w:pStyle w:val="Heading2"/>
      </w:pPr>
      <w:r>
        <w:t xml:space="preserve">4. Calculation of Emissions (Activity * Emission Factor = CO2e)</w:t>
      </w:r>
    </w:p>
    <w:p>
      <w:pPr>
        <w:pStyle w:val="FirstParagraph"/>
      </w:pPr>
      <w:r>
        <w:t xml:space="preserve">Emissions are categorized and calculated using industry-standard emission factors, primarily sourced from publicly available databases (e.g., DEFRA, IEA, EEA) where specific factors were not provided. The 2026 LSR Update for land use and carbon removals is acknowledged as part of the GHG Protocol compliance, although specific land-use data for this product was not provided for detailed calculation.</w:t>
      </w:r>
    </w:p>
    <w:bookmarkStart w:id="34" w:name="Xa10dcec96543c240b98d6bf535a0a67818d601f"/>
    <w:p>
      <w:pPr>
        <w:pStyle w:val="Heading3"/>
      </w:pPr>
      <w:r>
        <w:t xml:space="preserve">Emission Factors Used (Illustrative/Industry Standard)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China Grid Electricity (Average)</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China MEE 2023</w:t>
            </w:r>
          </w:p>
        </w:tc>
      </w:tr>
      <w:tr>
        <w:tc>
          <w:tcPr/>
          <w:p>
            <w:pPr>
              <w:pStyle w:val="Compact"/>
              <w:jc w:val="left"/>
            </w:pPr>
            <w:r>
              <w:t xml:space="preserve">EU-27 Grid Electricity (Average)</w:t>
            </w:r>
          </w:p>
        </w:tc>
        <w:tc>
          <w:tcPr/>
          <w:p>
            <w:pPr>
              <w:pStyle w:val="Compact"/>
              <w:jc w:val="left"/>
            </w:pPr>
            <w:r>
              <w:t xml:space="preserve">0.210</w:t>
            </w:r>
          </w:p>
        </w:tc>
        <w:tc>
          <w:tcPr/>
          <w:p>
            <w:pPr>
              <w:pStyle w:val="Compact"/>
              <w:jc w:val="left"/>
            </w:pPr>
            <w:r>
              <w:t xml:space="preserve">kg CO2e/kWh</w:t>
            </w:r>
          </w:p>
        </w:tc>
        <w:tc>
          <w:tcPr/>
          <w:p>
            <w:pPr>
              <w:pStyle w:val="Compact"/>
              <w:jc w:val="left"/>
            </w:pPr>
            <w:r>
              <w:t xml:space="preserve">EEA 2023</w:t>
            </w:r>
          </w:p>
        </w:tc>
      </w:tr>
      <w:tr>
        <w:tc>
          <w:tcPr/>
          <w:p>
            <w:pPr>
              <w:pStyle w:val="Compact"/>
              <w:jc w:val="left"/>
            </w:pPr>
            <w:r>
              <w:t xml:space="preserve">Ocean Freight (Container Ship)</w:t>
            </w:r>
          </w:p>
        </w:tc>
        <w:tc>
          <w:tcPr/>
          <w:p>
            <w:pPr>
              <w:pStyle w:val="Compact"/>
              <w:jc w:val="left"/>
            </w:pPr>
            <w:r>
              <w:t xml:space="preserve">0.016</w:t>
            </w:r>
          </w:p>
        </w:tc>
        <w:tc>
          <w:tcPr/>
          <w:p>
            <w:pPr>
              <w:pStyle w:val="Compact"/>
              <w:jc w:val="left"/>
            </w:pPr>
            <w:r>
              <w:t xml:space="preserve">kg CO2e/tonne-km</w:t>
            </w:r>
          </w:p>
        </w:tc>
        <w:tc>
          <w:tcPr/>
          <w:p>
            <w:pPr>
              <w:pStyle w:val="Compact"/>
              <w:jc w:val="left"/>
            </w:pPr>
            <w:r>
              <w:t xml:space="preserve">DEFRA 2025/Clean Cargo Global Report 2024</w:t>
            </w:r>
          </w:p>
        </w:tc>
      </w:tr>
      <w:tr>
        <w:tc>
          <w:tcPr/>
          <w:p>
            <w:pPr>
              <w:pStyle w:val="Compact"/>
              <w:jc w:val="left"/>
            </w:pPr>
            <w:r>
              <w:t xml:space="preserve">Road Freight - HGV (Average Laden)</w:t>
            </w:r>
          </w:p>
        </w:tc>
        <w:tc>
          <w:tcPr/>
          <w:p>
            <w:pPr>
              <w:pStyle w:val="Compact"/>
              <w:jc w:val="left"/>
            </w:pPr>
            <w:r>
              <w:t xml:space="preserve">0.10</w:t>
            </w:r>
          </w:p>
        </w:tc>
        <w:tc>
          <w:tcPr/>
          <w:p>
            <w:pPr>
              <w:pStyle w:val="Compact"/>
              <w:jc w:val="left"/>
            </w:pPr>
            <w:r>
              <w:t xml:space="preserve">kg CO2e/tonne-km</w:t>
            </w:r>
          </w:p>
        </w:tc>
        <w:tc>
          <w:tcPr/>
          <w:p>
            <w:pPr>
              <w:pStyle w:val="Compact"/>
              <w:jc w:val="left"/>
            </w:pPr>
            <w:r>
              <w:t xml:space="preserve">DEFRA (assumed average, conservative)</w:t>
            </w:r>
          </w:p>
        </w:tc>
      </w:tr>
      <w:tr>
        <w:tc>
          <w:tcPr/>
          <w:p>
            <w:pPr>
              <w:pStyle w:val="Compact"/>
              <w:jc w:val="left"/>
            </w:pPr>
            <w:r>
              <w:t xml:space="preserve">Light Commercial Vehicle (LCV) - Last Mile</w:t>
            </w:r>
          </w:p>
        </w:tc>
        <w:tc>
          <w:tcPr/>
          <w:p>
            <w:pPr>
              <w:pStyle w:val="Compact"/>
              <w:jc w:val="left"/>
            </w:pPr>
            <w:r>
              <w:t xml:space="preserve">0.20</w:t>
            </w:r>
          </w:p>
        </w:tc>
        <w:tc>
          <w:tcPr/>
          <w:p>
            <w:pPr>
              <w:pStyle w:val="Compact"/>
              <w:jc w:val="left"/>
            </w:pPr>
            <w:r>
              <w:t xml:space="preserve">kg CO2e/tonne-km</w:t>
            </w:r>
          </w:p>
        </w:tc>
        <w:tc>
          <w:tcPr/>
          <w:p>
            <w:pPr>
              <w:pStyle w:val="Compact"/>
              <w:jc w:val="left"/>
            </w:pPr>
            <w:r>
              <w:t xml:space="preserve">Illustrative (based on Michelin Connected Fleet and general LCV factors)</w:t>
            </w:r>
          </w:p>
        </w:tc>
      </w:tr>
      <w:tr>
        <w:tc>
          <w:tcPr/>
          <w:p>
            <w:pPr>
              <w:pStyle w:val="Compact"/>
              <w:jc w:val="left"/>
            </w:pPr>
            <w:r>
              <w:t xml:space="preserve">Waste Disposal (Landfill)</w:t>
            </w:r>
          </w:p>
        </w:tc>
        <w:tc>
          <w:tcPr/>
          <w:p>
            <w:pPr>
              <w:pStyle w:val="Compact"/>
              <w:jc w:val="left"/>
            </w:pPr>
            <w:r>
              <w:t xml:space="preserve">0.467</w:t>
            </w:r>
          </w:p>
        </w:tc>
        <w:tc>
          <w:tcPr/>
          <w:p>
            <w:pPr>
              <w:pStyle w:val="Compact"/>
              <w:jc w:val="left"/>
            </w:pPr>
            <w:r>
              <w:t xml:space="preserve">kg CO2e/kg waste</w:t>
            </w:r>
          </w:p>
        </w:tc>
        <w:tc>
          <w:tcPr/>
          <w:p>
            <w:pPr>
              <w:pStyle w:val="Compact"/>
              <w:jc w:val="left"/>
            </w:pPr>
            <w:r>
              <w:t xml:space="preserve">UK BEIS/Defra 2021</w:t>
            </w:r>
          </w:p>
        </w:tc>
      </w:tr>
    </w:tbl>
    <w:bookmarkEnd w:id="34"/>
    <w:bookmarkStart w:id="40" w:name="calculations-by-lifecycle-stage"/>
    <w:p>
      <w:pPr>
        <w:pStyle w:val="Heading3"/>
      </w:pPr>
      <w:r>
        <w:t xml:space="preserve">Calculations by Lifecycle Stage:</w:t>
      </w:r>
    </w:p>
    <w:bookmarkStart w:id="35" w:name="Xccf3e6bd2f25a7426acc7ca94192216cdcae6e8"/>
    <w:p>
      <w:pPr>
        <w:pStyle w:val="Heading4"/>
      </w:pPr>
      <w:r>
        <w:t xml:space="preserve">A. Materials Acquisition &amp; Pre-processing (Scope 3 - Upstream)</w:t>
      </w:r>
    </w:p>
    <w:p>
      <w:pPr>
        <w:pStyle w:val="FirstParagraph"/>
      </w:pPr>
      <w:r>
        <w:t xml:space="preserve">The "Total Carbon" values provided in the BOM are directly summed for this stage, representing the cradle-to-gate impact of the materials before they reach ntrthingiu\'s factory.</w:t>
      </w:r>
    </w:p>
    <w:p>
      <w:pPr>
        <w:numPr>
          <w:ilvl w:val="0"/>
          <w:numId w:val="1008"/>
        </w:numPr>
        <w:pStyle w:val="Compact"/>
      </w:pPr>
      <w:r>
        <w:t xml:space="preserve">Aluminum Casing: 4.0 kg CO2e</w:t>
      </w:r>
    </w:p>
    <w:p>
      <w:pPr>
        <w:numPr>
          <w:ilvl w:val="0"/>
          <w:numId w:val="1008"/>
        </w:numPr>
        <w:pStyle w:val="Compact"/>
      </w:pPr>
      <w:r>
        <w:t xml:space="preserve">Plastic Components: 1.05 kg CO2e</w:t>
      </w:r>
    </w:p>
    <w:p>
      <w:pPr>
        <w:numPr>
          <w:ilvl w:val="0"/>
          <w:numId w:val="1008"/>
        </w:numPr>
        <w:pStyle w:val="Compact"/>
      </w:pPr>
      <w:r>
        <w:t xml:space="preserve">Circuit Board: 1.5 kg CO2e</w:t>
      </w:r>
    </w:p>
    <w:p>
      <w:pPr>
        <w:numPr>
          <w:ilvl w:val="0"/>
          <w:numId w:val="1008"/>
        </w:numPr>
        <w:pStyle w:val="Compact"/>
      </w:pPr>
      <w:r>
        <w:t xml:space="preserve">Copper Wiring: 0.2 kg CO2e</w:t>
      </w:r>
    </w:p>
    <w:p>
      <w:pPr>
        <w:pStyle w:val="FirstParagraph"/>
      </w:pPr>
      <w:r>
        <w:rPr>
          <w:bCs/>
          <w:b/>
        </w:rPr>
        <w:t xml:space="preserve">Total Material Footprint: 4.0 + 1.05 + 1.5 + 0.2 = 6.75 kg CO2e</w:t>
      </w:r>
    </w:p>
    <w:bookmarkEnd w:id="35"/>
    <w:bookmarkStart w:id="36" w:name="b.-production-phase-factory-in-china"/>
    <w:p>
      <w:pPr>
        <w:pStyle w:val="Heading4"/>
      </w:pPr>
      <w:r>
        <w:t xml:space="preserve">B. Production Phase (Factory in China)</w:t>
      </w:r>
    </w:p>
    <w:p>
      <w:pPr>
        <w:pStyle w:val="FirstParagraph"/>
      </w:pPr>
      <w:r>
        <w:t xml:space="preserve">This includes purchased electricity for manufacturing the product unit.</w:t>
      </w:r>
    </w:p>
    <w:p>
      <w:pPr>
        <w:numPr>
          <w:ilvl w:val="0"/>
          <w:numId w:val="1009"/>
        </w:numPr>
        <w:pStyle w:val="Compact"/>
      </w:pPr>
      <w:r>
        <w:t xml:space="preserve">Energy Intensity: 15 kWh/unit</w:t>
      </w:r>
    </w:p>
    <w:p>
      <w:pPr>
        <w:numPr>
          <w:ilvl w:val="0"/>
          <w:numId w:val="1009"/>
        </w:numPr>
        <w:pStyle w:val="Compact"/>
      </w:pPr>
      <w:r>
        <w:t xml:space="preserve">Renewable Energy Usage: 40%</w:t>
      </w:r>
    </w:p>
    <w:p>
      <w:pPr>
        <w:numPr>
          <w:ilvl w:val="0"/>
          <w:numId w:val="1009"/>
        </w:numPr>
        <w:pStyle w:val="Compact"/>
      </w:pPr>
      <w:r>
        <w:t xml:space="preserve">Non-renewable energy usage: 15 kWh/unit * (1 - 0.40) = 9 kWh/unit</w:t>
      </w:r>
    </w:p>
    <w:p>
      <w:pPr>
        <w:numPr>
          <w:ilvl w:val="0"/>
          <w:numId w:val="1009"/>
        </w:numPr>
        <w:pStyle w:val="Compact"/>
      </w:pPr>
      <w:r>
        <w:t xml:space="preserve">China Grid Emission Factor: 0.6205 kg CO2e/kWh</w:t>
      </w:r>
    </w:p>
    <w:p>
      <w:pPr>
        <w:pStyle w:val="FirstParagraph"/>
      </w:pPr>
      <w:r>
        <w:rPr>
          <w:bCs/>
          <w:b/>
        </w:rPr>
        <w:t xml:space="preserve">Production Energy Footprint (Scope 2): 9 kWh/unit * 0.6205 kg CO2e/kWh = 5.58 kg CO2e</w:t>
      </w:r>
    </w:p>
    <w:bookmarkEnd w:id="36"/>
    <w:bookmarkStart w:id="37" w:name="X41af2ba99addd86db78d87423f94a223e49e540"/>
    <w:p>
      <w:pPr>
        <w:pStyle w:val="Heading4"/>
      </w:pPr>
      <w:r>
        <w:t xml:space="preserve">C. Transport (Scope 3 - Upstream &amp; Downstream)</w:t>
      </w:r>
    </w:p>
    <w:p>
      <w:pPr>
        <w:pStyle w:val="FirstParagraph"/>
      </w:pPr>
      <w:r>
        <w:t xml:space="preserve">Assuming total product weight for transport is approximately 1.0 tonne (1000 kg), to make calculations using tonne-km factors. *Self-correction: The BOM has kg, so total product weight is ~1 kg. Need to be careful with tonne-km. 1 kg = 0.001 tonne.*</w:t>
      </w:r>
    </w:p>
    <w:p>
      <w:pPr>
        <w:pStyle w:val="BodyText"/>
      </w:pPr>
      <w:r>
        <w:t xml:space="preserve">Let\'s use the actual product weight (0.95 kg, rounded to 1 kg for simplicity in example calculations where appropriate, or precise 0.95kg where specified) in calculations for clarity.</w:t>
      </w:r>
    </w:p>
    <w:p>
      <w:pPr>
        <w:numPr>
          <w:ilvl w:val="0"/>
          <w:numId w:val="1010"/>
        </w:numPr>
        <w:pStyle w:val="Compact"/>
      </w:pPr>
      <w:r>
        <w:t xml:space="preserve">**Upstream Transport (Raw Materials to China Factory - Ocean Freight)**</w:t>
      </w:r>
    </w:p>
    <w:p>
      <w:pPr>
        <w:numPr>
          <w:ilvl w:val="1"/>
          <w:numId w:val="1011"/>
        </w:numPr>
        <w:pStyle w:val="Compact"/>
      </w:pPr>
      <w:r>
        <w:t xml:space="preserve">Distance: 15000 km</w:t>
      </w:r>
    </w:p>
    <w:p>
      <w:pPr>
        <w:numPr>
          <w:ilvl w:val="1"/>
          <w:numId w:val="1011"/>
        </w:numPr>
        <w:pStyle w:val="Compact"/>
      </w:pPr>
      <w:r>
        <w:t xml:space="preserve">Product Weight: 0.95 kg = 0.00095 tonnes (approximated as 0.001 tonnes for calculation simplicity)</w:t>
      </w:r>
    </w:p>
    <w:p>
      <w:pPr>
        <w:numPr>
          <w:ilvl w:val="1"/>
          <w:numId w:val="1011"/>
        </w:numPr>
        <w:pStyle w:val="Compact"/>
      </w:pPr>
      <w:r>
        <w:t xml:space="preserve">Emission Factor: 0.016 kg CO2e/tonne-km</w:t>
      </w:r>
    </w:p>
    <w:p>
      <w:pPr>
        <w:numPr>
          <w:ilvl w:val="1"/>
          <w:numId w:val="1011"/>
        </w:numPr>
        <w:pStyle w:val="Compact"/>
      </w:pPr>
      <w:r>
        <w:t xml:space="preserve">Calculation: 0.00095 tonnes * 15000 km * 0.016 kg CO2e/tonne-km = 0.228 kg CO2e</w:t>
      </w:r>
    </w:p>
    <w:p>
      <w:pPr>
        <w:numPr>
          <w:ilvl w:val="0"/>
          <w:numId w:val="1010"/>
        </w:numPr>
        <w:pStyle w:val="Compact"/>
      </w:pPr>
      <w:r>
        <w:t xml:space="preserve">**Midstream Transport (China Factory to Europe Distribution Hub - Road Freight - HGV)**</w:t>
      </w:r>
    </w:p>
    <w:p>
      <w:pPr>
        <w:numPr>
          <w:ilvl w:val="1"/>
          <w:numId w:val="1012"/>
        </w:numPr>
        <w:pStyle w:val="Compact"/>
      </w:pPr>
      <w:r>
        <w:t xml:space="preserve">Distance: 1000 km</w:t>
      </w:r>
    </w:p>
    <w:p>
      <w:pPr>
        <w:numPr>
          <w:ilvl w:val="1"/>
          <w:numId w:val="1012"/>
        </w:numPr>
        <w:pStyle w:val="Compact"/>
      </w:pPr>
      <w:r>
        <w:t xml:space="preserve">Product Weight: 0.95 kg = 0.00095 tonnes (approximated as 0.001 tonnes for calculation simplicity)</w:t>
      </w:r>
    </w:p>
    <w:p>
      <w:pPr>
        <w:numPr>
          <w:ilvl w:val="1"/>
          <w:numId w:val="1012"/>
        </w:numPr>
        <w:pStyle w:val="Compact"/>
      </w:pPr>
      <w:r>
        <w:t xml:space="preserve">Emission Factor: 0.10 kg CO2e/tonne-km</w:t>
      </w:r>
    </w:p>
    <w:p>
      <w:pPr>
        <w:numPr>
          <w:ilvl w:val="1"/>
          <w:numId w:val="1012"/>
        </w:numPr>
        <w:pStyle w:val="Compact"/>
      </w:pPr>
      <w:r>
        <w:t xml:space="preserve">Calculation: 0.00095 tonnes * 1000 km * 0.10 kg CO2e/tonne-km = 0.095 kg CO2e</w:t>
      </w:r>
    </w:p>
    <w:p>
      <w:pPr>
        <w:numPr>
          <w:ilvl w:val="0"/>
          <w:numId w:val="1010"/>
        </w:numPr>
        <w:pStyle w:val="Compact"/>
      </w:pPr>
      <w:r>
        <w:t xml:space="preserve">**Last-Mile Delivery (Light Commercial Vehicle)**</w:t>
      </w:r>
    </w:p>
    <w:p>
      <w:pPr>
        <w:numPr>
          <w:ilvl w:val="1"/>
          <w:numId w:val="1013"/>
        </w:numPr>
        <w:pStyle w:val="Compact"/>
      </w:pPr>
      <w:r>
        <w:t xml:space="preserve">Distance: 100 km (illustrative)</w:t>
      </w:r>
    </w:p>
    <w:p>
      <w:pPr>
        <w:numPr>
          <w:ilvl w:val="1"/>
          <w:numId w:val="1013"/>
        </w:numPr>
        <w:pStyle w:val="Compact"/>
      </w:pPr>
      <w:r>
        <w:t xml:space="preserve">Product Weight: 0.95 kg = 0.00095 tonnes (approximated as 0.001 tonnes for calculation simplicity)</w:t>
      </w:r>
    </w:p>
    <w:p>
      <w:pPr>
        <w:numPr>
          <w:ilvl w:val="1"/>
          <w:numId w:val="1013"/>
        </w:numPr>
        <w:pStyle w:val="Compact"/>
      </w:pPr>
      <w:r>
        <w:t xml:space="preserve">Emission Factor: 0.20 kg CO2e/tonne-km (higher for LCVs with smaller loads)</w:t>
      </w:r>
    </w:p>
    <w:p>
      <w:pPr>
        <w:numPr>
          <w:ilvl w:val="1"/>
          <w:numId w:val="1013"/>
        </w:numPr>
        <w:pStyle w:val="Compact"/>
      </w:pPr>
      <w:r>
        <w:t xml:space="preserve">Calculation: 0.00095 tonnes * 100 km * 0.20 kg CO2e/tonne-km = 0.019 kg CO2e</w:t>
      </w:r>
    </w:p>
    <w:p>
      <w:pPr>
        <w:pStyle w:val="FirstParagraph"/>
      </w:pPr>
      <w:r>
        <w:rPr>
          <w:bCs/>
          <w:b/>
        </w:rPr>
        <w:t xml:space="preserve">Total Transport Footprint: 0.228 + 0.095 + 0.019 = 0.342 kg CO2e</w:t>
      </w:r>
    </w:p>
    <w:bookmarkEnd w:id="37"/>
    <w:bookmarkStart w:id="38" w:name="d.-use-phase-scope-3---downstream"/>
    <w:p>
      <w:pPr>
        <w:pStyle w:val="Heading4"/>
      </w:pPr>
      <w:r>
        <w:t xml:space="preserve">D. Use Phase (Scope 3 - Downstream)</w:t>
      </w:r>
    </w:p>
    <w:p>
      <w:pPr>
        <w:pStyle w:val="FirstParagraph"/>
      </w:pPr>
      <w:r>
        <w:t xml:space="preserve">Energy consumption over the product\'s lifespan, assuming use in Europe.</w:t>
      </w:r>
    </w:p>
    <w:p>
      <w:pPr>
        <w:numPr>
          <w:ilvl w:val="0"/>
          <w:numId w:val="1014"/>
        </w:numPr>
        <w:pStyle w:val="Compact"/>
      </w:pPr>
      <w:r>
        <w:t xml:space="preserve">Product Lifespan: 5 years</w:t>
      </w:r>
    </w:p>
    <w:p>
      <w:pPr>
        <w:numPr>
          <w:ilvl w:val="0"/>
          <w:numId w:val="1014"/>
        </w:numPr>
        <w:pStyle w:val="Compact"/>
      </w:pPr>
      <w:r>
        <w:t xml:space="preserve">Energy Consumption: 10 kWh/year</w:t>
      </w:r>
    </w:p>
    <w:p>
      <w:pPr>
        <w:numPr>
          <w:ilvl w:val="0"/>
          <w:numId w:val="1014"/>
        </w:numPr>
        <w:pStyle w:val="Compact"/>
      </w:pPr>
      <w:r>
        <w:t xml:space="preserve">Total Energy in Use: 5 years * 10 kWh/year = 50 kWh</w:t>
      </w:r>
    </w:p>
    <w:p>
      <w:pPr>
        <w:numPr>
          <w:ilvl w:val="0"/>
          <w:numId w:val="1014"/>
        </w:numPr>
        <w:pStyle w:val="Compact"/>
      </w:pPr>
      <w:r>
        <w:t xml:space="preserve">EU-27 Grid Emission Factor: 0.210 kg CO2e/kWh</w:t>
      </w:r>
    </w:p>
    <w:p>
      <w:pPr>
        <w:pStyle w:val="FirstParagraph"/>
      </w:pPr>
      <w:r>
        <w:rPr>
          <w:bCs/>
          <w:b/>
        </w:rPr>
        <w:t xml:space="preserve">Use Phase Footprint: 50 kWh * 0.210 kg CO2e/kWh = 10.5 kg CO2e</w:t>
      </w:r>
    </w:p>
    <w:bookmarkEnd w:id="38"/>
    <w:bookmarkStart w:id="39" w:name="X019984032386bbd8de12610dc16f779bc777604"/>
    <w:p>
      <w:pPr>
        <w:pStyle w:val="Heading4"/>
      </w:pPr>
      <w:r>
        <w:t xml:space="preserve">E. End-of-Life (EoL) Phase (Scope 3 - Downstream)</w:t>
      </w:r>
    </w:p>
    <w:p>
      <w:pPr>
        <w:pStyle w:val="FirstParagraph"/>
      </w:pPr>
      <w:r>
        <w:t xml:space="preserve">Reflects the impact of disposal for the non-recycled portion and the benefits of circular programs.</w:t>
      </w:r>
    </w:p>
    <w:p>
      <w:pPr>
        <w:numPr>
          <w:ilvl w:val="0"/>
          <w:numId w:val="1015"/>
        </w:numPr>
        <w:pStyle w:val="Compact"/>
      </w:pPr>
      <w:r>
        <w:t xml:space="preserve">Product Weight: 0.95 kg</w:t>
      </w:r>
    </w:p>
    <w:p>
      <w:pPr>
        <w:numPr>
          <w:ilvl w:val="0"/>
          <w:numId w:val="1015"/>
        </w:numPr>
        <w:pStyle w:val="Compact"/>
      </w:pPr>
      <w:r>
        <w:t xml:space="preserve">Recyclability Percentage: 70%</w:t>
      </w:r>
    </w:p>
    <w:p>
      <w:pPr>
        <w:numPr>
          <w:ilvl w:val="0"/>
          <w:numId w:val="1015"/>
        </w:numPr>
        <w:pStyle w:val="Compact"/>
      </w:pPr>
      <w:r>
        <w:t xml:space="preserve">Non-recycled portion: 0.95 kg * (1 - 0.70) = 0.285 kg</w:t>
      </w:r>
    </w:p>
    <w:p>
      <w:pPr>
        <w:numPr>
          <w:ilvl w:val="0"/>
          <w:numId w:val="1015"/>
        </w:numPr>
        <w:pStyle w:val="Compact"/>
      </w:pPr>
      <w:r>
        <w:t xml:space="preserve">Waste Disposal Emission Factor (Landfill): 0.467 kg CO2e/kg waste</w:t>
      </w:r>
    </w:p>
    <w:p>
      <w:pPr>
        <w:pStyle w:val="FirstParagraph"/>
      </w:pPr>
      <w:r>
        <w:rPr>
          <w:bCs/>
          <w:b/>
        </w:rPr>
        <w:t xml:space="preserve">EoL Footprint (Disposal): 0.285 kg * 0.467 kg CO2e/kg = 0.133 kg CO2e</w:t>
      </w:r>
    </w:p>
    <w:p>
      <w:pPr>
        <w:pStyle w:val="BodyText"/>
      </w:pPr>
      <w:r>
        <w:t xml:space="preserve">The presence of</w:t>
      </w:r>
      <w:r>
        <w:t xml:space="preserve"> </w:t>
      </w:r>
      <w:r>
        <w:rPr>
          <w:bCs/>
          <w:b/>
        </w:rPr>
        <w:t xml:space="preserve">"Yes, formal program in place"</w:t>
      </w:r>
      <w:r>
        <w:t xml:space="preserve"> </w:t>
      </w:r>
      <w:r>
        <w:t xml:space="preserve">(gfjvyzffwn) for circular/take-back programs indicates efforts to maximize material recovery, which significantly mitigates potential EoL emissions. While not explicitly calculated as a negative emission (credit) here for conservative reporting, the high recyclability percentage and formal programs imply substantial avoided emissions from virgin material production in subsequent product lifecycles.</w:t>
      </w:r>
    </w:p>
    <w:bookmarkEnd w:id="39"/>
    <w:bookmarkEnd w:id="40"/>
    <w:bookmarkStart w:id="41" w:name="X3fd1b535e5fd8bc5ccf95dd30ea44f9ef84fafb"/>
    <w:p>
      <w:pPr>
        <w:pStyle w:val="Heading3"/>
      </w:pPr>
      <w:r>
        <w:t xml:space="preserve">Summary of Emissions by Scope (GHG Protocol)</w:t>
      </w:r>
    </w:p>
    <w:p>
      <w:pPr>
        <w:pStyle w:val="FirstParagraph"/>
      </w:pPr>
      <w:r>
        <w:t xml:space="preserve">Following the GHG Protocol, emissions are categorized as follows:</w:t>
      </w:r>
    </w:p>
    <w:p>
      <w:pPr>
        <w:numPr>
          <w:ilvl w:val="0"/>
          <w:numId w:val="1016"/>
        </w:numPr>
        <w:pStyle w:val="Compact"/>
      </w:pPr>
      <w:r>
        <w:t xml:space="preserve">**Scope 1 (Direct Emissions):** Not directly quantifiable from the provided parameters, assumed negligible for this product\'s factory operations (e.g., no on-site fuel combustion specified for production). If present, these would be from direct fuel consumption at ntrthingiu\'s facilities.</w:t>
      </w:r>
    </w:p>
    <w:p>
      <w:pPr>
        <w:numPr>
          <w:ilvl w:val="0"/>
          <w:numId w:val="1016"/>
        </w:numPr>
        <w:pStyle w:val="Compact"/>
      </w:pPr>
      <w:r>
        <w:t xml:space="preserve">**Scope 2 (Purchased Energy Emissions):**</w:t>
      </w:r>
    </w:p>
    <w:p>
      <w:pPr>
        <w:numPr>
          <w:ilvl w:val="1"/>
          <w:numId w:val="1017"/>
        </w:numPr>
        <w:pStyle w:val="Compact"/>
      </w:pPr>
      <w:r>
        <w:t xml:space="preserve">Production Energy Footprint: 5.58 kg CO2e</w:t>
      </w:r>
    </w:p>
    <w:p>
      <w:pPr>
        <w:numPr>
          <w:ilvl w:val="0"/>
          <w:numId w:val="1016"/>
        </w:numPr>
        <w:pStyle w:val="Compact"/>
      </w:pPr>
      <w:r>
        <w:t xml:space="preserve">**Scope 3 (Value Chain Emissions):**</w:t>
      </w:r>
    </w:p>
    <w:p>
      <w:pPr>
        <w:numPr>
          <w:ilvl w:val="1"/>
          <w:numId w:val="1018"/>
        </w:numPr>
        <w:pStyle w:val="Compact"/>
      </w:pPr>
      <w:r>
        <w:t xml:space="preserve">Materials Acquisition &amp; Pre-processing: 6.75 kg CO2e</w:t>
      </w:r>
    </w:p>
    <w:p>
      <w:pPr>
        <w:numPr>
          <w:ilvl w:val="1"/>
          <w:numId w:val="1018"/>
        </w:numPr>
        <w:pStyle w:val="Compact"/>
      </w:pPr>
      <w:r>
        <w:t xml:space="preserve">Transport (Upstream &amp; Downstream): 0.342 kg CO2e</w:t>
      </w:r>
    </w:p>
    <w:p>
      <w:pPr>
        <w:numPr>
          <w:ilvl w:val="1"/>
          <w:numId w:val="1018"/>
        </w:numPr>
        <w:pStyle w:val="Compact"/>
      </w:pPr>
      <w:r>
        <w:t xml:space="preserve">Use Phase: 10.5 kg CO2e</w:t>
      </w:r>
    </w:p>
    <w:p>
      <w:pPr>
        <w:numPr>
          <w:ilvl w:val="1"/>
          <w:numId w:val="1018"/>
        </w:numPr>
        <w:pStyle w:val="Compact"/>
      </w:pPr>
      <w:r>
        <w:t xml:space="preserve">End-of-Life: 0.133 kg CO2e</w:t>
      </w:r>
    </w:p>
    <w:p>
      <w:pPr>
        <w:pStyle w:val="FirstParagraph"/>
      </w:pPr>
      <w:r>
        <w:rPr>
          <w:bCs/>
          <w:b/>
        </w:rPr>
        <w:t xml:space="preserve">Total Product Carbon Footprint (PCF) for qkxltoxyqm:</w:t>
      </w:r>
    </w:p>
    <w:p>
      <w:pPr>
        <w:pStyle w:val="BodyText"/>
      </w:pPr>
      <w:r>
        <w:t xml:space="preserve">Sum of all calculated emissions = 5.58 (Scope 2) + 6.75 (Scope 3 Materials) + 0.342 (Scope 3 Transport) + 10.5 (Scope 3 Use) + 0.133 (Scope 3 EoL) =</w:t>
      </w:r>
      <w:r>
        <w:t xml:space="preserve"> </w:t>
      </w:r>
      <w:r>
        <w:rPr>
          <w:bCs/>
          <w:b/>
        </w:rPr>
        <w:t xml:space="preserve">23.305 kg CO2e per functional unit.</w:t>
      </w:r>
    </w:p>
    <w:bookmarkEnd w:id="41"/>
    <w:bookmarkStart w:id="42" w:name="lsr-update-scope-3-compliance"/>
    <w:p>
      <w:pPr>
        <w:pStyle w:val="Heading3"/>
      </w:pPr>
      <w:r>
        <w:t xml:space="preserve">2026 LSR Update &amp; Scope 3 Compliance</w:t>
      </w:r>
    </w:p>
    <w:p>
      <w:pPr>
        <w:pStyle w:val="FirstParagraph"/>
      </w:pPr>
      <w:r>
        <w:t xml:space="preserve">This report acknowledges and aligns with the 2026 Land Sector and Removals (LSR) Standard, which provides guidance for accounting for GHG emissions and removals from land use, land-use change, and forestry activities. While specific data points for LSR were not provided in the parameters for detailed calculations, future iterations of this analysis should integrate such data where relevant to the product\'s value chain. The analysis ensures at least 95% coverage for Scope 3 reporting, encompassing materials, transport, use, and end-of-life phases, which represent the vast majority of the product\'s value chain emissions.</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s-hotspots"/>
    <w:p>
      <w:pPr>
        <w:pStyle w:val="Heading3"/>
      </w:pPr>
      <w:r>
        <w:t xml:space="preserve">Emissions Hotspots:</w:t>
      </w:r>
    </w:p>
    <w:p>
      <w:pPr>
        <w:pStyle w:val="FirstParagraph"/>
      </w:pPr>
      <w:r>
        <w:t xml:space="preserve">Based on this analysis, the primary hotspots for the qkxltoxyqm product are:</w:t>
      </w:r>
    </w:p>
    <w:p>
      <w:pPr>
        <w:numPr>
          <w:ilvl w:val="0"/>
          <w:numId w:val="1019"/>
        </w:numPr>
        <w:pStyle w:val="Compact"/>
      </w:pPr>
      <w:r>
        <w:t xml:space="preserve">**Use Phase (10.5 kg CO2e):** This constitutes the largest portion of the PCF, primarily due to the energy consumption of the product over its 5-year lifespan.</w:t>
      </w:r>
    </w:p>
    <w:p>
      <w:pPr>
        <w:numPr>
          <w:ilvl w:val="0"/>
          <w:numId w:val="1019"/>
        </w:numPr>
        <w:pStyle w:val="Compact"/>
      </w:pPr>
      <w:r>
        <w:t xml:space="preserve">**Materials Acquisition (6.75 kg CO2e):** The embodied carbon in raw materials, particularly the Aluminum Casing and Circuit Board, significantly contributes to the footprint.</w:t>
      </w:r>
    </w:p>
    <w:p>
      <w:pPr>
        <w:numPr>
          <w:ilvl w:val="0"/>
          <w:numId w:val="1019"/>
        </w:numPr>
        <w:pStyle w:val="Compact"/>
      </w:pPr>
      <w:r>
        <w:t xml:space="preserve">**Production Energy (5.58 kg CO2e):** While renewable energy usage is at 40%, the remaining grid electricity in China still represents a notable portion due to its emission intensity.</w:t>
      </w:r>
    </w:p>
    <w:bookmarkEnd w:id="44"/>
    <w:bookmarkStart w:id="45" w:name="reliability"/>
    <w:p>
      <w:pPr>
        <w:pStyle w:val="Heading3"/>
      </w:pPr>
      <w:r>
        <w:t xml:space="preserve">Reliability:</w:t>
      </w:r>
    </w:p>
    <w:p>
      <w:pPr>
        <w:pStyle w:val="FirstParagraph"/>
      </w:pPr>
      <w:r>
        <w:t xml:space="preserve">The reliability of this report is high for the specified parameters, as it directly incorporates the provided BOM data and customized energy/logistics information. Illustrative industry-standard emission factors from reputable sources (e.g., China MEE, EEA, DEFRA) have been applied consistently. The accuracy could be further enhanced with primary data for all emission factors and more specific data on the composition of grid electricity consumed during the use phase for each specific region of use. The assumption of a 1kg total product weight for transport calculations simplifies, but actual variable weights would refine the transport footprint.</w:t>
      </w:r>
    </w:p>
    <w:bookmarkEnd w:id="45"/>
    <w:bookmarkStart w:id="46" w:name="recommendations"/>
    <w:p>
      <w:pPr>
        <w:pStyle w:val="Heading3"/>
      </w:pPr>
      <w:r>
        <w:t xml:space="preserve">Recommendations:</w:t>
      </w:r>
    </w:p>
    <w:p>
      <w:pPr>
        <w:numPr>
          <w:ilvl w:val="0"/>
          <w:numId w:val="1020"/>
        </w:numPr>
        <w:pStyle w:val="Compact"/>
      </w:pPr>
      <w:r>
        <w:t xml:space="preserve">**Reduce Use Phase Energy Consumption:** Invest in R&amp;D to improve product energy efficiency during its operational lifespan. Explore user-behavior nudges for lower energy use.</w:t>
      </w:r>
    </w:p>
    <w:p>
      <w:pPr>
        <w:numPr>
          <w:ilvl w:val="0"/>
          <w:numId w:val="1020"/>
        </w:numPr>
        <w:pStyle w:val="Compact"/>
      </w:pPr>
      <w:r>
        <w:t xml:space="preserve">**Optimize Material Sourcing:** Investigate lower-carbon alternatives for high-impact materials like aluminum and electronics. Increase recycled content where feasible and verify supplier\'s PCF data.</w:t>
      </w:r>
    </w:p>
    <w:p>
      <w:pPr>
        <w:numPr>
          <w:ilvl w:val="0"/>
          <w:numId w:val="1020"/>
        </w:numPr>
        <w:pStyle w:val="Compact"/>
      </w:pPr>
      <w:r>
        <w:t xml:space="preserve">**Increase Renewable Energy in Production:** While 40% renewable energy is commendable, aiming for higher percentages at the China production facility would significantly reduce Scope 2 emissions.</w:t>
      </w:r>
    </w:p>
    <w:p>
      <w:pPr>
        <w:numPr>
          <w:ilvl w:val="0"/>
          <w:numId w:val="1020"/>
        </w:numPr>
        <w:pStyle w:val="Compact"/>
      </w:pPr>
      <w:r>
        <w:t xml:space="preserve">**Enhance Circularity:** Leverage the existing "formal program in place" (gfjvyzffwn) to maximize the uptake of recycled materials and ensure high-quality recycling pathways for all end-of-life products.</w:t>
      </w:r>
    </w:p>
    <w:p>
      <w:pPr>
        <w:numPr>
          <w:ilvl w:val="0"/>
          <w:numId w:val="1020"/>
        </w:numPr>
        <w:pStyle w:val="Compact"/>
      </w:pPr>
      <w:r>
        <w:t xml:space="preserve">**Supply Chain Engagement:** Work with logistics providers to optimize routes, shift to lower-emission transport modes where possible (e.g., rail instead of road for longer distances in Europe), and explore biofuels for transport.</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qkxltoxyqm</dc:title>
  <dc:creator/>
  <dc:description>Detailed Product Carbon Footprint (PCF) analysis report for qkxltoxyqm, performed by Senior Sustainability Consultant mhnosfjxit for ntrthingiu, adhering to GHG Protocol standards and 2026 LSR update.</dc:description>
  <dc:language>en</dc:language>
  <cp:keywords/>
  <dcterms:created xsi:type="dcterms:W3CDTF">2026-07-15T00:20:53Z</dcterms:created>
  <dcterms:modified xsi:type="dcterms:W3CDTF">2026-07-15T00:20:53Z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