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qknelwpmhd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qknelwpmhd</w:t>
      </w:r>
    </w:p>
    <w:p>
      <w:pPr>
        <w:pStyle w:val="BodyText"/>
      </w:pPr>
      <w:r>
        <w:rPr>
          <w:bCs/>
          <w:b/>
        </w:rPr>
        <w:t xml:space="preserve">Company:</w:t>
      </w:r>
      <w:r>
        <w:t xml:space="preserve"> </w:t>
      </w:r>
      <w:r>
        <w:t xml:space="preserve">eksgoqgwuo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thhnyysenx</w:t>
      </w:r>
    </w:p>
    <w:p>
      <w:pPr>
        <w:pStyle w:val="BodyText"/>
      </w:pPr>
      <w:r>
        <w:t xml:space="preserve">This report is generated based on available data and industry standards, incorporating specific parameters provided by the client. Where specific data was not provided for placeholders, plausible dummy data and industry-average emission factors have been used and explicitly noted.</w:t>
      </w:r>
    </w:p>
    <w:bookmarkEnd w:id="20"/>
    <w:bookmarkStart w:id="21" w:name="Xbce2202fc1687e26d6f38913c9caa0b9f63b30f"/>
    <w:p>
      <w:pPr>
        <w:pStyle w:val="Heading1"/>
      </w:pPr>
      <w:r>
        <w:t xml:space="preserve">Product Carbon Footprint Analysis Report for qknelwpmhd</w:t>
      </w:r>
    </w:p>
    <w:p>
      <w:pPr>
        <w:pStyle w:val="FirstParagraph"/>
      </w:pPr>
      <w:r>
        <w:t xml:space="preserve">Generated Date:</w:t>
      </w:r>
    </w:p>
    <w:bookmarkEnd w:id="21"/>
    <w:bookmarkStart w:id="22" w:name="executive-summary"/>
    <w:p>
      <w:pPr>
        <w:pStyle w:val="Heading2"/>
      </w:pPr>
      <w:r>
        <w:t xml:space="preserve">Executive Summary</w:t>
      </w:r>
    </w:p>
    <w:p>
      <w:pPr>
        <w:pStyle w:val="FirstParagraph"/>
      </w:pPr>
      <w:r>
        <w:t xml:space="preserve">This report details a high-detail Product Carbon Footprint (PCF) analysis for the product qknelwpmhd manufactured by eksgoqgwuo. Conducted by thhnyysenx, a Senior Sustainability Consultant specializing in GHG Protocol, this assessment adheres to the GHG Protocol Product Standard, incorporating the 2026 Land Sector and Removals (LSR) Standard and ensuring comprehensive Scope 3 coverage. The analysis covers the entire lifecycle from raw material acquisition to end-of-life, providing insights into emission hotspots and pathways for reduction. The system boundary for this analysis is defined as \'factory_gate\' for initial assessment, with extended calculations for use and end-of-life phases. All calculations use a functional unit of 1.0 unit of qknelwpmhd.</w:t>
      </w:r>
    </w:p>
    <w:p>
      <w:r>
        <w:pict>
          <v:rect style="width:0;height:1.5pt" o:hralign="center" o:hrstd="t" o:hr="t"/>
        </w:pict>
      </w:r>
    </w:p>
    <w:bookmarkEnd w:id="22"/>
    <w:bookmarkStart w:id="27"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qknelwpmhd</w:t>
      </w:r>
      <w:r>
        <w:t xml:space="preserve">.</w:t>
      </w:r>
    </w:p>
    <w:bookmarkEnd w:id="23"/>
    <w:bookmarkStart w:id="24" w:name="system-boundaries"/>
    <w:p>
      <w:pPr>
        <w:pStyle w:val="Heading3"/>
      </w:pPr>
      <w:r>
        <w:t xml:space="preserve">1.2 System Boundaries</w:t>
      </w:r>
    </w:p>
    <w:p>
      <w:pPr>
        <w:pStyle w:val="FirstParagraph"/>
      </w:pPr>
      <w:r>
        <w:t xml:space="preserve">The system boundary for this initial assessment is</w:t>
      </w:r>
      <w:r>
        <w:t xml:space="preserve"> </w:t>
      </w:r>
      <w:r>
        <w:rPr>
          <w:bCs/>
          <w:b/>
        </w:rPr>
        <w:t xml:space="preserve">factory_gate</w:t>
      </w:r>
      <w:r>
        <w:t xml:space="preserve">, meaning emissions up to the point the finished product leaves the manufacturing facility. However, for a holistic PCF, the analysis extends to cover the entire product lifecycle, including raw material acquisition, manufacturing, distribution, use phase, and end-of-life, as per GHG Protocol requirements. This report presents calculations across all these stages to provide a complete picture of the product\'s environmental impact.</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transportation to and within Europe for distribution and use).</w:t>
      </w:r>
    </w:p>
    <w:bookmarkEnd w:id="25"/>
    <w:bookmarkStart w:id="26" w:name="allocation"/>
    <w:p>
      <w:pPr>
        <w:pStyle w:val="Heading3"/>
      </w:pPr>
      <w:r>
        <w:t xml:space="preserve">1.4 Allocation</w:t>
      </w:r>
    </w:p>
    <w:p>
      <w:pPr>
        <w:pStyle w:val="FirstParagraph"/>
      </w:pPr>
      <w:r>
        <w:t xml:space="preserve">Emissions are allocated directly to the functional unit (1.0 unit of qknelwpmhd) using an attributional approach. No co-product or by-product allocation complexities are assumed for this single-product analysis. Credits for recycling at End-of-Life are applied as avoided emissions, reflecting the circular economy impacts.</w:t>
      </w:r>
    </w:p>
    <w:p>
      <w:r>
        <w:pict>
          <v:rect style="width:0;height:1.5pt" o:hralign="center" o:hrstd="t" o:hr="t"/>
        </w:pict>
      </w:r>
    </w:p>
    <w:bookmarkEnd w:id="26"/>
    <w:bookmarkEnd w:id="27"/>
    <w:bookmarkStart w:id="33" w:name="lifecycle-mapping-lci-inventory-stages"/>
    <w:p>
      <w:pPr>
        <w:pStyle w:val="Heading2"/>
      </w:pPr>
      <w:r>
        <w:t xml:space="preserve">2. Lifecycle Mapping (LCI Inventory Stages)</w:t>
      </w:r>
    </w:p>
    <w:p>
      <w:pPr>
        <w:pStyle w:val="FirstParagraph"/>
      </w:pPr>
      <w:r>
        <w:t xml:space="preserve">The lifecycle of qknelwpmhd is mapped across five main stages, each contributing to the overall Product Carbon Footprint. Emissions are categorized according to the GHG Protocol into Scope 1 (direct emissions), Scope 2 (purchased energy), and Scope 3 (all other indirect emissions in the value chain).</w:t>
      </w:r>
    </w:p>
    <w:bookmarkStart w:id="28" w:name="X1b0368d9fa279ce5f642e6e7a88ce573ab93153"/>
    <w:p>
      <w:pPr>
        <w:pStyle w:val="Heading3"/>
      </w:pPr>
      <w:r>
        <w:t xml:space="preserve">2.1 Raw Material Acquisition &amp; Processing (Scope 3 - Upstream)</w:t>
      </w:r>
    </w:p>
    <w:p>
      <w:pPr>
        <w:pStyle w:val="FirstParagraph"/>
      </w:pPr>
      <w:r>
        <w:t xml:space="preserve">This stage includes all emissions associated with the extraction, processing, and refining of raw materials that constitute the product. The Detailed Bill of Materials (BOM) for jmlqfjiv is utilized for this assessment.</w:t>
      </w:r>
    </w:p>
    <w:p>
      <w:pPr>
        <w:pStyle w:val="BodyText"/>
      </w:pPr>
      <w:r>
        <w:rPr>
          <w:bCs/>
          <w:b/>
        </w:rPr>
        <w:t xml:space="preserve">Note:</w:t>
      </w:r>
      <w:r>
        <w:t xml:space="preserve"> </w:t>
      </w:r>
      <w:r>
        <w:t xml:space="preserve">The provided BOM data \'jmlqfjiv\' was a placeholder. For the purpose of this report, the following</w:t>
      </w:r>
      <w:r>
        <w:t xml:space="preserve"> </w:t>
      </w:r>
      <w:r>
        <w:rPr>
          <w:iCs/>
          <w:i/>
        </w:rPr>
        <w:t xml:space="preserve">dummy</w:t>
      </w:r>
      <w:r>
        <w:t xml:space="preserve"> </w:t>
      </w:r>
      <w:r>
        <w:t xml:space="preserve">Bill of Materials (BOM) has been generated, structured according to the specified format (ID, Description, Category, Process, Qty, Unit, Emission Factor, Total Carbon). The \'Emission Factor\' values are illustrative and represent typical industry averages for the respective materials and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Main Enclosure</w:t>
            </w:r>
          </w:p>
        </w:tc>
        <w:tc>
          <w:tcPr/>
          <w:p>
            <w:pPr>
              <w:pStyle w:val="Compact"/>
              <w:jc w:val="left"/>
            </w:pPr>
            <w:r>
              <w:t xml:space="preserve">Plastic (ABS)</w:t>
            </w:r>
          </w:p>
        </w:tc>
        <w:tc>
          <w:tcPr/>
          <w:p>
            <w:pPr>
              <w:pStyle w:val="Compact"/>
              <w:jc w:val="left"/>
            </w:pPr>
            <w:r>
              <w:t xml:space="preserve">Injection Molding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3.5</w:t>
            </w:r>
          </w:p>
        </w:tc>
        <w:tc>
          <w:tcPr/>
          <w:p>
            <w:pPr>
              <w:pStyle w:val="Compact"/>
              <w:jc w:val="left"/>
            </w:pPr>
            <w:r>
              <w:t xml:space="preserve">1.225</w:t>
            </w:r>
          </w:p>
        </w:tc>
      </w:tr>
      <w:tr>
        <w:tc>
          <w:tcPr/>
          <w:p>
            <w:pPr>
              <w:pStyle w:val="Compact"/>
              <w:jc w:val="left"/>
            </w:pPr>
            <w:r>
              <w:t xml:space="preserve">MAT-002</w:t>
            </w:r>
          </w:p>
        </w:tc>
        <w:tc>
          <w:tcPr/>
          <w:p>
            <w:pPr>
              <w:pStyle w:val="Compact"/>
              <w:jc w:val="left"/>
            </w:pPr>
            <w:r>
              <w:t xml:space="preserve">Internal Circuit Board</w:t>
            </w:r>
          </w:p>
        </w:tc>
        <w:tc>
          <w:tcPr/>
          <w:p>
            <w:pPr>
              <w:pStyle w:val="Compact"/>
              <w:jc w:val="left"/>
            </w:pPr>
            <w:r>
              <w:t xml:space="preserve">Electronics (PCBA)</w:t>
            </w:r>
          </w:p>
        </w:tc>
        <w:tc>
          <w:tcPr/>
          <w:p>
            <w:pPr>
              <w:pStyle w:val="Compact"/>
              <w:jc w:val="left"/>
            </w:pPr>
            <w:r>
              <w:t xml:space="preserve">Manufacturing &amp; 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MAT-003</w:t>
            </w:r>
          </w:p>
        </w:tc>
        <w:tc>
          <w:tcPr/>
          <w:p>
            <w:pPr>
              <w:pStyle w:val="Compact"/>
              <w:jc w:val="left"/>
            </w:pPr>
            <w:r>
              <w:t xml:space="preserve">Aluminium Heat Sink</w:t>
            </w:r>
          </w:p>
        </w:tc>
        <w:tc>
          <w:tcPr/>
          <w:p>
            <w:pPr>
              <w:pStyle w:val="Compact"/>
              <w:jc w:val="left"/>
            </w:pPr>
            <w:r>
              <w:t xml:space="preserve">Metal (Aluminium)</w:t>
            </w:r>
          </w:p>
        </w:tc>
        <w:tc>
          <w:tcPr/>
          <w:p>
            <w:pPr>
              <w:pStyle w:val="Compact"/>
              <w:jc w:val="left"/>
            </w:pPr>
            <w:r>
              <w:t xml:space="preserve">Extrusion &amp; Machining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8.0</w:t>
            </w:r>
          </w:p>
        </w:tc>
        <w:tc>
          <w:tcPr/>
          <w:p>
            <w:pPr>
              <w:pStyle w:val="Compact"/>
              <w:jc w:val="left"/>
            </w:pPr>
            <w:r>
              <w:t xml:space="preserve">1.200</w:t>
            </w:r>
          </w:p>
        </w:tc>
      </w:tr>
      <w:tr>
        <w:tc>
          <w:tcPr/>
          <w:p>
            <w:pPr>
              <w:pStyle w:val="Compact"/>
              <w:jc w:val="left"/>
            </w:pPr>
            <w:r>
              <w:t xml:space="preserve">MAT-004</w:t>
            </w:r>
          </w:p>
        </w:tc>
        <w:tc>
          <w:tcPr/>
          <w:p>
            <w:pPr>
              <w:pStyle w:val="Compact"/>
              <w:jc w:val="left"/>
            </w:pPr>
            <w:r>
              <w:t xml:space="preserve">Wiring &amp; Connectors</w:t>
            </w:r>
          </w:p>
        </w:tc>
        <w:tc>
          <w:tcPr/>
          <w:p>
            <w:pPr>
              <w:pStyle w:val="Compact"/>
              <w:jc w:val="left"/>
            </w:pPr>
            <w:r>
              <w:t xml:space="preserve">Copper/Plastic</w:t>
            </w:r>
          </w:p>
        </w:tc>
        <w:tc>
          <w:tcPr/>
          <w:p>
            <w:pPr>
              <w:pStyle w:val="Compact"/>
              <w:jc w:val="left"/>
            </w:pPr>
            <w:r>
              <w:t xml:space="preserve">Drawing &amp;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0.300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w:t>
            </w:r>
          </w:p>
        </w:tc>
        <w:tc>
          <w:tcPr/>
          <w:p>
            <w:pPr>
              <w:pStyle w:val="Compact"/>
              <w:jc w:val="left"/>
            </w:pPr>
            <w:r>
              <w:t xml:space="preserve">0.064</w:t>
            </w:r>
          </w:p>
        </w:tc>
      </w:tr>
    </w:tbl>
    <w:bookmarkEnd w:id="28"/>
    <w:bookmarkStart w:id="29" w:name="manufacturing-scope-1-scope-2"/>
    <w:p>
      <w:pPr>
        <w:pStyle w:val="Heading3"/>
      </w:pPr>
      <w:r>
        <w:t xml:space="preserve">2.2 Manufacturing (Scope 1 &amp; Scope 2)</w:t>
      </w:r>
    </w:p>
    <w:p>
      <w:pPr>
        <w:pStyle w:val="FirstParagraph"/>
      </w:pPr>
      <w:r>
        <w:t xml:space="preserve">This stage covers emissions from the production processes at the eksgoqgwuo factory in China, including direct emissions (Scope 1) and emissions from purchased electricity (Scope 2).</w:t>
      </w:r>
    </w:p>
    <w:p>
      <w:pPr>
        <w:numPr>
          <w:ilvl w:val="0"/>
          <w:numId w:val="1002"/>
        </w:numPr>
        <w:pStyle w:val="Compact"/>
      </w:pPr>
      <w:r>
        <w:rPr>
          <w:bCs/>
          <w:b/>
        </w:rPr>
        <w:t xml:space="preserve">Energy Intensity (kWh/unit):</w:t>
      </w:r>
      <w:r>
        <w:t xml:space="preserve"> </w:t>
      </w:r>
      <w:r>
        <w:t xml:space="preserve">15 kWh/unit (dummy value, originally \'wldphyyjnq\').</w:t>
      </w:r>
    </w:p>
    <w:p>
      <w:pPr>
        <w:numPr>
          <w:ilvl w:val="0"/>
          <w:numId w:val="1002"/>
        </w:numPr>
        <w:pStyle w:val="Compact"/>
      </w:pPr>
      <w:r>
        <w:rPr>
          <w:bCs/>
          <w:b/>
        </w:rPr>
        <w:t xml:space="preserve">Renewable Energy Usage:</w:t>
      </w:r>
      <w:r>
        <w:t xml:space="preserve"> </w:t>
      </w:r>
      <w:r>
        <w:t xml:space="preserve">60% (dummy value, originally \'fhvxonghhz\'). This percentage of electricity consumed is sourced from renewable energy, significantly reducing Scope 2 emissions.</w:t>
      </w:r>
    </w:p>
    <w:bookmarkEnd w:id="29"/>
    <w:bookmarkStart w:id="30" w:name="Xc78fa9e95fdc5a4841e5055035e97eb6a5c3c11"/>
    <w:p>
      <w:pPr>
        <w:pStyle w:val="Heading3"/>
      </w:pPr>
      <w:r>
        <w:t xml:space="preserve">2.3 Transport &amp; Distribution (Scope 3 - Upstream &amp; Downstream)</w:t>
      </w:r>
    </w:p>
    <w:p>
      <w:pPr>
        <w:pStyle w:val="FirstParagraph"/>
      </w:pPr>
      <w:r>
        <w:t xml:space="preserve">This stage includes emissions from transporting raw materials to the factory, transporting the finished product from China to Europe, and last-mile delivery to the customer.</w:t>
      </w:r>
    </w:p>
    <w:p>
      <w:pPr>
        <w:numPr>
          <w:ilvl w:val="0"/>
          <w:numId w:val="1003"/>
        </w:numPr>
        <w:pStyle w:val="Compact"/>
      </w:pPr>
      <w:r>
        <w:rPr>
          <w:bCs/>
          <w:b/>
        </w:rPr>
        <w:t xml:space="preserve">Primary Transport Mode (China to Europe):</w:t>
      </w:r>
      <w:r>
        <w:t xml:space="preserve"> </w:t>
      </w:r>
      <w:r>
        <w:t xml:space="preserve">Ocean Freight (dummy value, originally \'Select Mode\').</w:t>
      </w:r>
    </w:p>
    <w:p>
      <w:pPr>
        <w:numPr>
          <w:ilvl w:val="0"/>
          <w:numId w:val="1003"/>
        </w:numPr>
        <w:pStyle w:val="Compact"/>
      </w:pPr>
      <w:r>
        <w:rPr>
          <w:bCs/>
          <w:b/>
        </w:rPr>
        <w:t xml:space="preserve">Primary Transport Distance:</w:t>
      </w:r>
      <w:r>
        <w:t xml:space="preserve"> </w:t>
      </w:r>
      <w:r>
        <w:t xml:space="preserve">15,000 km (dummy value, originally \'dhgkiwfxwe\', assumed for ocean freight).</w:t>
      </w:r>
    </w:p>
    <w:p>
      <w:pPr>
        <w:numPr>
          <w:ilvl w:val="0"/>
          <w:numId w:val="1003"/>
        </w:numPr>
        <w:pStyle w:val="Compact"/>
      </w:pPr>
      <w:r>
        <w:rPr>
          <w:bCs/>
          <w:b/>
        </w:rPr>
        <w:t xml:space="preserve">Secondary Transport Mode (Within Europe):</w:t>
      </w:r>
      <w:r>
        <w:t xml:space="preserve"> </w:t>
      </w:r>
      <w:r>
        <w:t xml:space="preserve">Road Freight (HGV &gt; 16t) (dummy value assumed).</w:t>
      </w:r>
    </w:p>
    <w:p>
      <w:pPr>
        <w:numPr>
          <w:ilvl w:val="0"/>
          <w:numId w:val="1003"/>
        </w:numPr>
        <w:pStyle w:val="Compact"/>
      </w:pPr>
      <w:r>
        <w:rPr>
          <w:bCs/>
          <w:b/>
        </w:rPr>
        <w:t xml:space="preserve">Secondary Transport Distance:</w:t>
      </w:r>
      <w:r>
        <w:t xml:space="preserve"> </w:t>
      </w:r>
      <w:r>
        <w:t xml:space="preserve">500 km (dummy value assumed for European distribution).</w:t>
      </w:r>
    </w:p>
    <w:p>
      <w:pPr>
        <w:numPr>
          <w:ilvl w:val="0"/>
          <w:numId w:val="1003"/>
        </w:numPr>
        <w:pStyle w:val="Compact"/>
      </w:pPr>
      <w:r>
        <w:rPr>
          <w:bCs/>
          <w:b/>
        </w:rPr>
        <w:t xml:space="preserve">Last-Mile Delivery Channel:</w:t>
      </w:r>
      <w:r>
        <w:t xml:space="preserve"> </w:t>
      </w:r>
      <w:r>
        <w:t xml:space="preserve">Road Freight (Light Commercial Vehicle) (dummy value, originally \'Delivery Type\').</w:t>
      </w:r>
    </w:p>
    <w:p>
      <w:pPr>
        <w:numPr>
          <w:ilvl w:val="0"/>
          <w:numId w:val="1003"/>
        </w:numPr>
        <w:pStyle w:val="Compact"/>
      </w:pPr>
      <w:r>
        <w:rPr>
          <w:bCs/>
          <w:b/>
        </w:rPr>
        <w:t xml:space="preserve">Last-Mile Delivery Distance:</w:t>
      </w:r>
      <w:r>
        <w:t xml:space="preserve"> </w:t>
      </w:r>
      <w:r>
        <w:t xml:space="preserve">50 km (dummy value assumed).</w:t>
      </w:r>
    </w:p>
    <w:bookmarkEnd w:id="30"/>
    <w:bookmarkStart w:id="31" w:name="use-phase-scope-3---downstream"/>
    <w:p>
      <w:pPr>
        <w:pStyle w:val="Heading3"/>
      </w:pPr>
      <w:r>
        <w:t xml:space="preserve">2.4 Use Phase (Scope 3 - Downstream)</w:t>
      </w:r>
    </w:p>
    <w:p>
      <w:pPr>
        <w:pStyle w:val="FirstParagraph"/>
      </w:pPr>
      <w:r>
        <w:t xml:space="preserve">Emissions generated during the product\'s operational life by the end-user.</w:t>
      </w:r>
    </w:p>
    <w:p>
      <w:pPr>
        <w:numPr>
          <w:ilvl w:val="0"/>
          <w:numId w:val="1004"/>
        </w:numPr>
        <w:pStyle w:val="Compact"/>
      </w:pPr>
      <w:r>
        <w:rPr>
          <w:bCs/>
          <w:b/>
        </w:rPr>
        <w:t xml:space="preserve">Product Lifespan:</w:t>
      </w:r>
      <w:r>
        <w:t xml:space="preserve"> </w:t>
      </w:r>
      <w:r>
        <w:t xml:space="preserve">5 years (dummy value, originally \'vukqxwvtew\').</w:t>
      </w:r>
    </w:p>
    <w:p>
      <w:pPr>
        <w:numPr>
          <w:ilvl w:val="0"/>
          <w:numId w:val="1004"/>
        </w:numPr>
        <w:pStyle w:val="Compact"/>
      </w:pPr>
      <w:r>
        <w:rPr>
          <w:bCs/>
          <w:b/>
        </w:rPr>
        <w:t xml:space="preserve">Energy Consumption in Use:</w:t>
      </w:r>
      <w:r>
        <w:t xml:space="preserve"> </w:t>
      </w:r>
      <w:r>
        <w:t xml:space="preserve">10 kWh/year (total 50 kWh over lifespan) (dummy value, originally \'eijsvzqres\').</w:t>
      </w:r>
    </w:p>
    <w:bookmarkEnd w:id="31"/>
    <w:bookmarkStart w:id="32" w:name="end-of-life-eol-scope-3---downstream"/>
    <w:p>
      <w:pPr>
        <w:pStyle w:val="Heading3"/>
      </w:pPr>
      <w:r>
        <w:t xml:space="preserve">2.5 End-of-Life (EoL) (Scope 3 - Downstream)</w:t>
      </w:r>
    </w:p>
    <w:p>
      <w:pPr>
        <w:pStyle w:val="FirstParagraph"/>
      </w:pPr>
      <w:r>
        <w:t xml:space="preserve">Emissions and potential credits associated with the disposal, recycling, or recovery of the product at the end of its useful life.</w:t>
      </w:r>
    </w:p>
    <w:p>
      <w:pPr>
        <w:numPr>
          <w:ilvl w:val="0"/>
          <w:numId w:val="1005"/>
        </w:numPr>
        <w:pStyle w:val="Compact"/>
      </w:pPr>
      <w:r>
        <w:rPr>
          <w:bCs/>
          <w:b/>
        </w:rPr>
        <w:t xml:space="preserve">Recyclability Percentage:</w:t>
      </w:r>
      <w:r>
        <w:t xml:space="preserve"> </w:t>
      </w:r>
      <w:r>
        <w:t xml:space="preserve">70% (dummy value, originally \'kfvfgwumyk\'). This represents the percentage of the product\'s mass that is technically recyclable.</w:t>
      </w:r>
    </w:p>
    <w:p>
      <w:pPr>
        <w:numPr>
          <w:ilvl w:val="0"/>
          <w:numId w:val="1005"/>
        </w:numPr>
        <w:pStyle w:val="Compact"/>
      </w:pPr>
      <w:r>
        <w:rPr>
          <w:bCs/>
          <w:b/>
        </w:rPr>
        <w:t xml:space="preserve">Circular/Take-back Programs:</w:t>
      </w:r>
      <w:r>
        <w:t xml:space="preserve"> </w:t>
      </w:r>
      <w:r>
        <w:t xml:space="preserve">"Product Take-back Scheme with Material Sorting and Recycling" (dummy value, originally \'qfuhyrjwkg\'). This program facilitates the collection and processing of used products, enhancing actual recycling rates and circularity.</w:t>
      </w:r>
    </w:p>
    <w:p>
      <w:r>
        <w:pict>
          <v:rect style="width:0;height:1.5pt" o:hralign="center" o:hrstd="t" o:hr="t"/>
        </w:pict>
      </w:r>
    </w:p>
    <w:bookmarkEnd w:id="32"/>
    <w:bookmarkEnd w:id="33"/>
    <w:bookmarkStart w:id="36" w:name="data-collection-and-emission-factors"/>
    <w:p>
      <w:pPr>
        <w:pStyle w:val="Heading2"/>
      </w:pPr>
      <w:r>
        <w:t xml:space="preserve">3. Data Collection and Emission Factors</w:t>
      </w:r>
    </w:p>
    <w:p>
      <w:pPr>
        <w:pStyle w:val="FirstParagraph"/>
      </w:pPr>
      <w:r>
        <w:t xml:space="preserve">Primary data points were gathered from the specified parameters. Where specific data was a placeholder, plausible dummy values have been generated. Secondary data, primarily in the form of industry-standard emission factors, has been sourced or assumed based on typical values from databases like Ecoinvent or DEFRA for processes and energy sources not explicitly detailed in the provided parameters.</w:t>
      </w:r>
    </w:p>
    <w:bookmarkStart w:id="34" w:name="primary-data-provided-assumed"/>
    <w:p>
      <w:pPr>
        <w:pStyle w:val="Heading3"/>
      </w:pPr>
      <w:r>
        <w:t xml:space="preserve">3.1 Primary Data (Provided &amp; Assumed)</w:t>
      </w:r>
    </w:p>
    <w:p>
      <w:pPr>
        <w:numPr>
          <w:ilvl w:val="0"/>
          <w:numId w:val="1006"/>
        </w:numPr>
        <w:pStyle w:val="Compact"/>
      </w:pPr>
      <w:r>
        <w:rPr>
          <w:bCs/>
          <w:b/>
        </w:rPr>
        <w:t xml:space="preserve">Detailed Bill of Materials (BOM):</w:t>
      </w:r>
      <w:r>
        <w:t xml:space="preserve"> </w:t>
      </w:r>
      <w:r>
        <w:t xml:space="preserve">As detailed in Section 2.1, with assumed \'Emission Factor\' and \'Total Carbon\' values.</w:t>
      </w:r>
    </w:p>
    <w:p>
      <w:pPr>
        <w:numPr>
          <w:ilvl w:val="0"/>
          <w:numId w:val="1006"/>
        </w:numPr>
        <w:pStyle w:val="Compact"/>
      </w:pPr>
      <w:r>
        <w:rPr>
          <w:bCs/>
          <w:b/>
        </w:rPr>
        <w:t xml:space="preserve">Transport Logistics:</w:t>
      </w:r>
      <w:r>
        <w:t xml:space="preserve"> </w:t>
      </w:r>
      <w:r>
        <w:t xml:space="preserve">Assumed modes and distances (Ocean Freight, Road Freight HGV, Light Commercial Vehicle; 15,000 km, 500 km, 50 km respectively).</w:t>
      </w:r>
    </w:p>
    <w:p>
      <w:pPr>
        <w:numPr>
          <w:ilvl w:val="0"/>
          <w:numId w:val="1006"/>
        </w:numPr>
        <w:pStyle w:val="Compact"/>
      </w:pPr>
      <w:r>
        <w:rPr>
          <w:bCs/>
          <w:b/>
        </w:rPr>
        <w:t xml:space="preserve">Manufacturing Energy:</w:t>
      </w:r>
      <w:r>
        <w:t xml:space="preserve"> </w:t>
      </w:r>
      <w:r>
        <w:t xml:space="preserve">Energy Intensity (15 kWh/unit), Renewable Energy Usage (60%).</w:t>
      </w:r>
    </w:p>
    <w:p>
      <w:pPr>
        <w:numPr>
          <w:ilvl w:val="0"/>
          <w:numId w:val="1006"/>
        </w:numPr>
        <w:pStyle w:val="Compact"/>
      </w:pPr>
      <w:r>
        <w:rPr>
          <w:bCs/>
          <w:b/>
        </w:rPr>
        <w:t xml:space="preserve">Use Phase:</w:t>
      </w:r>
      <w:r>
        <w:t xml:space="preserve"> </w:t>
      </w:r>
      <w:r>
        <w:t xml:space="preserve">Product Lifespan (5 years), Energy Consumption in Use (10 kWh/year).</w:t>
      </w:r>
    </w:p>
    <w:p>
      <w:pPr>
        <w:numPr>
          <w:ilvl w:val="0"/>
          <w:numId w:val="1006"/>
        </w:numPr>
        <w:pStyle w:val="Compact"/>
      </w:pPr>
      <w:r>
        <w:rPr>
          <w:bCs/>
          <w:b/>
        </w:rPr>
        <w:t xml:space="preserve">End-of-Life:</w:t>
      </w:r>
      <w:r>
        <w:t xml:space="preserve"> </w:t>
      </w:r>
      <w:r>
        <w:t xml:space="preserve">Recyclability Percentage (70%), Circular Programs (Product Take-back Scheme).</w:t>
      </w:r>
    </w:p>
    <w:bookmarkEnd w:id="34"/>
    <w:bookmarkStart w:id="35" w:name="secondary-data-assumed-emission-factors"/>
    <w:p>
      <w:pPr>
        <w:pStyle w:val="Heading3"/>
      </w:pPr>
      <w:r>
        <w:t xml:space="preserve">3.2 Secondary Data (Assumed Emission Factors)</w:t>
      </w:r>
    </w:p>
    <w:p>
      <w:pPr>
        <w:pStyle w:val="FirstParagraph"/>
      </w:pPr>
      <w:r>
        <w:t xml:space="preserve">The following emission factors are used in calculations, based on industry averages (e.g., typically from Ecoinvent/DEFRA) where specific factors were not provided in the parameters: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 (kg CO2e/unit)</w:t>
            </w:r>
          </w:p>
        </w:tc>
        <w:tc>
          <w:tcPr/>
          <w:p>
            <w:pPr>
              <w:pStyle w:val="Compact"/>
              <w:jc w:val="left"/>
            </w:pPr>
            <w:r>
              <w:t xml:space="preserve">Source/Assumption</w:t>
            </w:r>
          </w:p>
        </w:tc>
      </w:tr>
      <w:tr>
        <w:tc>
          <w:tcPr/>
          <w:p>
            <w:pPr>
              <w:pStyle w:val="Compact"/>
              <w:jc w:val="left"/>
            </w:pPr>
            <w:r>
              <w:t xml:space="preserve">Electricity (China Grid)</w:t>
            </w:r>
          </w:p>
        </w:tc>
        <w:tc>
          <w:tcPr/>
          <w:p>
            <w:pPr>
              <w:pStyle w:val="Compact"/>
              <w:jc w:val="left"/>
            </w:pPr>
            <w:r>
              <w:t xml:space="preserve">Average for non-renewable electricity in China</w:t>
            </w:r>
          </w:p>
        </w:tc>
        <w:tc>
          <w:tcPr/>
          <w:p>
            <w:pPr>
              <w:pStyle w:val="Compact"/>
              <w:jc w:val="left"/>
            </w:pPr>
            <w:r>
              <w:t xml:space="preserve">0.60 kg CO2e/kWh</w:t>
            </w:r>
          </w:p>
        </w:tc>
        <w:tc>
          <w:tcPr/>
          <w:p>
            <w:pPr>
              <w:pStyle w:val="Compact"/>
              <w:jc w:val="left"/>
            </w:pPr>
            <w:r>
              <w:t xml:space="preserve">IEA 2023 / Industry Average</w:t>
            </w:r>
          </w:p>
        </w:tc>
      </w:tr>
      <w:tr>
        <w:tc>
          <w:tcPr/>
          <w:p>
            <w:pPr>
              <w:pStyle w:val="Compact"/>
              <w:jc w:val="left"/>
            </w:pPr>
            <w:r>
              <w:t xml:space="preserve">Electricity (Renewable)</w:t>
            </w:r>
          </w:p>
        </w:tc>
        <w:tc>
          <w:tcPr/>
          <w:p>
            <w:pPr>
              <w:pStyle w:val="Compact"/>
              <w:jc w:val="left"/>
            </w:pPr>
            <w:r>
              <w:t xml:space="preserve">Embodied emissions for renewable generation (e.g., solar, wind)</w:t>
            </w:r>
          </w:p>
        </w:tc>
        <w:tc>
          <w:tcPr/>
          <w:p>
            <w:pPr>
              <w:pStyle w:val="Compact"/>
              <w:jc w:val="left"/>
            </w:pPr>
            <w:r>
              <w:t xml:space="preserve">0.04 kg CO2e/kWh</w:t>
            </w:r>
          </w:p>
        </w:tc>
        <w:tc>
          <w:tcPr/>
          <w:p>
            <w:pPr>
              <w:pStyle w:val="Compact"/>
              <w:jc w:val="left"/>
            </w:pPr>
            <w:r>
              <w:t xml:space="preserve">Ecoinvent / Industry Average</w:t>
            </w:r>
          </w:p>
        </w:tc>
      </w:tr>
      <w:tr>
        <w:tc>
          <w:tcPr/>
          <w:p>
            <w:pPr>
              <w:pStyle w:val="Compact"/>
              <w:jc w:val="left"/>
            </w:pPr>
            <w:r>
              <w:t xml:space="preserve">Ocean Freight</w:t>
            </w:r>
          </w:p>
        </w:tc>
        <w:tc>
          <w:tcPr/>
          <w:p>
            <w:pPr>
              <w:pStyle w:val="Compact"/>
              <w:jc w:val="left"/>
            </w:pPr>
            <w:r>
              <w:t xml:space="preserve">Average for container ship (per tonne-kilometer)</w:t>
            </w:r>
          </w:p>
        </w:tc>
        <w:tc>
          <w:tcPr/>
          <w:p>
            <w:pPr>
              <w:pStyle w:val="Compact"/>
              <w:jc w:val="left"/>
            </w:pPr>
            <w:r>
              <w:t xml:space="preserve">0.01 kg CO2e/tkm</w:t>
            </w:r>
          </w:p>
        </w:tc>
        <w:tc>
          <w:tcPr/>
          <w:p>
            <w:pPr>
              <w:pStyle w:val="Compact"/>
              <w:jc w:val="left"/>
            </w:pPr>
            <w:r>
              <w:t xml:space="preserve">DEFRA 2023 / Industry Average</w:t>
            </w:r>
          </w:p>
        </w:tc>
      </w:tr>
      <w:tr>
        <w:tc>
          <w:tcPr/>
          <w:p>
            <w:pPr>
              <w:pStyle w:val="Compact"/>
              <w:jc w:val="left"/>
            </w:pPr>
            <w:r>
              <w:t xml:space="preserve">Road Freight (HGV &gt; 16t)</w:t>
            </w:r>
          </w:p>
        </w:tc>
        <w:tc>
          <w:tcPr/>
          <w:p>
            <w:pPr>
              <w:pStyle w:val="Compact"/>
              <w:jc w:val="left"/>
            </w:pPr>
            <w:r>
              <w:t xml:space="preserve">Average for heavy goods vehicle (per tonne-kilometer)</w:t>
            </w:r>
          </w:p>
        </w:tc>
        <w:tc>
          <w:tcPr/>
          <w:p>
            <w:pPr>
              <w:pStyle w:val="Compact"/>
              <w:jc w:val="left"/>
            </w:pPr>
            <w:r>
              <w:t xml:space="preserve">0.10 kg CO2e/tkm</w:t>
            </w:r>
          </w:p>
        </w:tc>
        <w:tc>
          <w:tcPr/>
          <w:p>
            <w:pPr>
              <w:pStyle w:val="Compact"/>
              <w:jc w:val="left"/>
            </w:pPr>
            <w:r>
              <w:t xml:space="preserve">DEFRA 2023 / Industry Average</w:t>
            </w:r>
          </w:p>
        </w:tc>
      </w:tr>
      <w:tr>
        <w:tc>
          <w:tcPr/>
          <w:p>
            <w:pPr>
              <w:pStyle w:val="Compact"/>
              <w:jc w:val="left"/>
            </w:pPr>
            <w:r>
              <w:t xml:space="preserve">Road Freight (Light Commercial Vehicle)</w:t>
            </w:r>
          </w:p>
        </w:tc>
        <w:tc>
          <w:tcPr/>
          <w:p>
            <w:pPr>
              <w:pStyle w:val="Compact"/>
              <w:jc w:val="left"/>
            </w:pPr>
            <w:r>
              <w:t xml:space="preserve">Average for last-mile delivery vehicle (per tonne-kilometer)</w:t>
            </w:r>
          </w:p>
        </w:tc>
        <w:tc>
          <w:tcPr/>
          <w:p>
            <w:pPr>
              <w:pStyle w:val="Compact"/>
              <w:jc w:val="left"/>
            </w:pPr>
            <w:r>
              <w:t xml:space="preserve">0.20 kg CO2e/tkm</w:t>
            </w:r>
          </w:p>
        </w:tc>
        <w:tc>
          <w:tcPr/>
          <w:p>
            <w:pPr>
              <w:pStyle w:val="Compact"/>
              <w:jc w:val="left"/>
            </w:pPr>
            <w:r>
              <w:t xml:space="preserve">DEFRA 2023 / Industry Average</w:t>
            </w:r>
          </w:p>
        </w:tc>
      </w:tr>
      <w:tr>
        <w:tc>
          <w:tcPr/>
          <w:p>
            <w:pPr>
              <w:pStyle w:val="Compact"/>
              <w:jc w:val="left"/>
            </w:pPr>
            <w:r>
              <w:t xml:space="preserve">Waste Disposal (Landfill)</w:t>
            </w:r>
          </w:p>
        </w:tc>
        <w:tc>
          <w:tcPr/>
          <w:p>
            <w:pPr>
              <w:pStyle w:val="Compact"/>
              <w:jc w:val="left"/>
            </w:pPr>
            <w:r>
              <w:t xml:space="preserve">General factor for non-recycled mixed waste</w:t>
            </w:r>
          </w:p>
        </w:tc>
        <w:tc>
          <w:tcPr/>
          <w:p>
            <w:pPr>
              <w:pStyle w:val="Compact"/>
              <w:jc w:val="left"/>
            </w:pPr>
            <w:r>
              <w:t xml:space="preserve">0.10 kg CO2e/kg</w:t>
            </w:r>
          </w:p>
        </w:tc>
        <w:tc>
          <w:tcPr/>
          <w:p>
            <w:pPr>
              <w:pStyle w:val="Compact"/>
              <w:jc w:val="left"/>
            </w:pPr>
            <w:r>
              <w:t xml:space="preserve">Ecoinvent / Industry Average</w:t>
            </w:r>
          </w:p>
        </w:tc>
      </w:tr>
      <w:tr>
        <w:tc>
          <w:tcPr/>
          <w:p>
            <w:pPr>
              <w:pStyle w:val="Compact"/>
              <w:jc w:val="left"/>
            </w:pPr>
            <w:r>
              <w:t xml:space="preserve">Recycling Credit</w:t>
            </w:r>
          </w:p>
        </w:tc>
        <w:tc>
          <w:tcPr/>
          <w:p>
            <w:pPr>
              <w:pStyle w:val="Compact"/>
              <w:jc w:val="left"/>
            </w:pPr>
            <w:r>
              <w:t xml:space="preserve">Avoided emissions from recycling (e.g., 50% of virgin material impact)</w:t>
            </w:r>
          </w:p>
        </w:tc>
        <w:tc>
          <w:tcPr/>
          <w:p>
            <w:pPr>
              <w:pStyle w:val="Compact"/>
              <w:jc w:val="left"/>
            </w:pPr>
            <w:r>
              <w:t xml:space="preserve">-0.50 (factor)</w:t>
            </w:r>
          </w:p>
        </w:tc>
        <w:tc>
          <w:tcPr/>
          <w:p>
            <w:pPr>
              <w:pStyle w:val="Compact"/>
              <w:jc w:val="left"/>
            </w:pPr>
            <w:r>
              <w:t xml:space="preserve">Assumed based on average material specific savings</w:t>
            </w:r>
          </w:p>
        </w:tc>
      </w:tr>
    </w:tbl>
    <w:p>
      <w:r>
        <w:pict>
          <v:rect style="width:0;height:1.5pt" o:hralign="center" o:hrstd="t" o:hr="t"/>
        </w:pict>
      </w:r>
    </w:p>
    <w:bookmarkEnd w:id="35"/>
    <w:bookmarkEnd w:id="36"/>
    <w:bookmarkStart w:id="44" w:name="X439a6e6dcb43c636bf515ffaf3f59bce0bd6490"/>
    <w:p>
      <w:pPr>
        <w:pStyle w:val="Heading2"/>
      </w:pPr>
      <w:r>
        <w:t xml:space="preserve">4. Emission Calculation (Activity * Emission Factor = CO2e)</w:t>
      </w:r>
    </w:p>
    <w:p>
      <w:pPr>
        <w:pStyle w:val="FirstParagraph"/>
      </w:pPr>
      <w:r>
        <w:t xml:space="preserve">This section details the calculation of emissions for each lifecycle stage, categorized by GHG Protocol scopes.</w:t>
      </w:r>
    </w:p>
    <w:bookmarkStart w:id="37" w:name="X063cbf0d71df69039d0e54eece2cf3316edff57"/>
    <w:p>
      <w:pPr>
        <w:pStyle w:val="Heading3"/>
      </w:pPr>
      <w:r>
        <w:t xml:space="preserve">4.1 Raw Material Acquisition &amp; Processing (Scope 3 - Upstream)</w:t>
      </w:r>
    </w:p>
    <w:p>
      <w:pPr>
        <w:pStyle w:val="FirstParagraph"/>
      </w:pPr>
      <w:r>
        <w:t xml:space="preserve">Calculations based on the dummy BOM provided in Section 2.1.</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Material Description</w:t>
            </w:r>
          </w:p>
        </w:tc>
        <w:tc>
          <w:tcPr/>
          <w:p>
            <w:pPr>
              <w:pStyle w:val="Compact"/>
              <w:jc w:val="left"/>
            </w:pPr>
            <w:r>
              <w:t xml:space="preserve">Total Carbon (kg CO2e)</w:t>
            </w:r>
          </w:p>
        </w:tc>
      </w:tr>
      <w:tr>
        <w:tc>
          <w:tcPr/>
          <w:p>
            <w:pPr>
              <w:pStyle w:val="Compact"/>
              <w:jc w:val="left"/>
            </w:pPr>
            <w:r>
              <w:t xml:space="preserve">Main Enclosure (Plastic)</w:t>
            </w:r>
          </w:p>
        </w:tc>
        <w:tc>
          <w:tcPr/>
          <w:p>
            <w:pPr>
              <w:pStyle w:val="Compact"/>
              <w:jc w:val="left"/>
            </w:pPr>
            <w:r>
              <w:t xml:space="preserve">1.225</w:t>
            </w:r>
          </w:p>
        </w:tc>
      </w:tr>
      <w:tr>
        <w:tc>
          <w:tcPr/>
          <w:p>
            <w:pPr>
              <w:pStyle w:val="Compact"/>
              <w:jc w:val="left"/>
            </w:pPr>
            <w:r>
              <w:t xml:space="preserve">Internal Circuit Board (Electronics)</w:t>
            </w:r>
          </w:p>
        </w:tc>
        <w:tc>
          <w:tcPr/>
          <w:p>
            <w:pPr>
              <w:pStyle w:val="Compact"/>
              <w:jc w:val="left"/>
            </w:pPr>
            <w:r>
              <w:t xml:space="preserve">1.200</w:t>
            </w:r>
          </w:p>
        </w:tc>
      </w:tr>
      <w:tr>
        <w:tc>
          <w:tcPr/>
          <w:p>
            <w:pPr>
              <w:pStyle w:val="Compact"/>
              <w:jc w:val="left"/>
            </w:pPr>
            <w:r>
              <w:t xml:space="preserve">Aluminium Heat Sink (Metal)</w:t>
            </w:r>
          </w:p>
        </w:tc>
        <w:tc>
          <w:tcPr/>
          <w:p>
            <w:pPr>
              <w:pStyle w:val="Compact"/>
              <w:jc w:val="left"/>
            </w:pPr>
            <w:r>
              <w:t xml:space="preserve">1.200</w:t>
            </w:r>
          </w:p>
        </w:tc>
      </w:tr>
      <w:tr>
        <w:tc>
          <w:tcPr/>
          <w:p>
            <w:pPr>
              <w:pStyle w:val="Compact"/>
              <w:jc w:val="left"/>
            </w:pPr>
            <w:r>
              <w:t xml:space="preserve">Wiring &amp; Connectors (Copper/Plastic)</w:t>
            </w:r>
          </w:p>
        </w:tc>
        <w:tc>
          <w:tcPr/>
          <w:p>
            <w:pPr>
              <w:pStyle w:val="Compact"/>
              <w:jc w:val="left"/>
            </w:pPr>
            <w:r>
              <w:t xml:space="preserve">0.300</w:t>
            </w:r>
          </w:p>
        </w:tc>
      </w:tr>
      <w:tr>
        <w:tc>
          <w:tcPr/>
          <w:p>
            <w:pPr>
              <w:pStyle w:val="Compact"/>
              <w:jc w:val="left"/>
            </w:pPr>
            <w:r>
              <w:t xml:space="preserve">Packaging (Cardboard)</w:t>
            </w:r>
          </w:p>
        </w:tc>
        <w:tc>
          <w:tcPr/>
          <w:p>
            <w:pPr>
              <w:pStyle w:val="Compact"/>
              <w:jc w:val="left"/>
            </w:pPr>
            <w:r>
              <w:t xml:space="preserve">0.064</w:t>
            </w:r>
          </w:p>
        </w:tc>
      </w:tr>
      <w:tr>
        <w:tc>
          <w:tcPr/>
          <w:p>
            <w:pPr>
              <w:pStyle w:val="Compact"/>
              <w:jc w:val="left"/>
            </w:pPr>
            <w:r>
              <w:t xml:space="preserve">Total Raw Materials Emissions</w:t>
            </w:r>
          </w:p>
        </w:tc>
        <w:tc>
          <w:tcPr/>
          <w:p>
            <w:pPr>
              <w:pStyle w:val="Compact"/>
              <w:jc w:val="left"/>
            </w:pPr>
            <w:r>
              <w:t xml:space="preserve">3.989 kg CO2e/unit</w:t>
            </w:r>
          </w:p>
        </w:tc>
      </w:tr>
    </w:tbl>
    <w:bookmarkEnd w:id="37"/>
    <w:bookmarkStart w:id="38" w:name="manufacturing-emissions-scope-1-scope-2"/>
    <w:p>
      <w:pPr>
        <w:pStyle w:val="Heading3"/>
      </w:pPr>
      <w:r>
        <w:t xml:space="preserve">4.2 Manufacturing Emissions (Scope 1 &amp; Scope 2)</w:t>
      </w:r>
    </w:p>
    <w:p>
      <w:pPr>
        <w:pStyle w:val="FirstParagraph"/>
      </w:pPr>
      <w:r>
        <w:rPr>
          <w:bCs/>
          <w:b/>
        </w:rPr>
        <w:t xml:space="preserve">Total Energy Consumption:</w:t>
      </w:r>
      <w:r>
        <w:t xml:space="preserve"> </w:t>
      </w:r>
      <w:r>
        <w:t xml:space="preserve">15 kWh/unit.</w:t>
      </w:r>
      <w:r>
        <w:br/>
      </w:r>
      <w:r>
        <w:rPr>
          <w:bCs/>
          <w:b/>
        </w:rPr>
        <w:t xml:space="preserve">Renewable Energy Usage:</w:t>
      </w:r>
      <w:r>
        <w:t xml:space="preserve"> </w:t>
      </w:r>
      <w:r>
        <w:t xml:space="preserve">60%.</w:t>
      </w:r>
      <w:r>
        <w:br/>
      </w:r>
      <w:r>
        <w:rPr>
          <w:bCs/>
          <w:b/>
        </w:rPr>
        <w:t xml:space="preserve">Non-Renewable Energy Usage:</w:t>
      </w:r>
      <w:r>
        <w:t xml:space="preserve"> </w:t>
      </w:r>
      <w:r>
        <w:t xml:space="preserve">40% (1 - 0.60).</w:t>
      </w:r>
    </w:p>
    <w:p>
      <w:pPr>
        <w:numPr>
          <w:ilvl w:val="0"/>
          <w:numId w:val="1007"/>
        </w:numPr>
        <w:pStyle w:val="Compact"/>
      </w:pPr>
      <w:r>
        <w:rPr>
          <w:bCs/>
          <w:b/>
        </w:rPr>
        <w:t xml:space="preserve">Scope 2 (Purchased Electricity):</w:t>
      </w:r>
    </w:p>
    <w:p>
      <w:pPr>
        <w:numPr>
          <w:ilvl w:val="0"/>
          <w:numId w:val="1007"/>
        </w:numPr>
        <w:pStyle w:val="Compact"/>
      </w:pPr>
    </w:p>
    <w:p>
      <w:pPr>
        <w:numPr>
          <w:ilvl w:val="1"/>
          <w:numId w:val="1008"/>
        </w:numPr>
        <w:pStyle w:val="Compact"/>
      </w:pPr>
      <w:r>
        <w:t xml:space="preserve">Non-renewable electricity: 15 kWh/unit * 0.40 = 6 kWh/unit</w:t>
      </w:r>
    </w:p>
    <w:p>
      <w:pPr>
        <w:numPr>
          <w:ilvl w:val="1"/>
          <w:numId w:val="1008"/>
        </w:numPr>
        <w:pStyle w:val="Compact"/>
      </w:pPr>
      <w:r>
        <w:t xml:space="preserve">Emissions from non-renewable electricity: 6 kWh/unit * 0.60 kg CO2e/kWh (China Grid) = 3.60 kg CO2e/unit</w:t>
      </w:r>
    </w:p>
    <w:p>
      <w:pPr>
        <w:numPr>
          <w:ilvl w:val="1"/>
          <w:numId w:val="1008"/>
        </w:numPr>
        <w:pStyle w:val="Compact"/>
      </w:pPr>
      <w:r>
        <w:t xml:space="preserve">Renewable electricity: 15 kWh/unit * 0.60 = 9 kWh/unit</w:t>
      </w:r>
    </w:p>
    <w:p>
      <w:pPr>
        <w:numPr>
          <w:ilvl w:val="1"/>
          <w:numId w:val="1008"/>
        </w:numPr>
        <w:pStyle w:val="Compact"/>
      </w:pPr>
      <w:r>
        <w:t xml:space="preserve">Emissions from renewable electricity (embodied): 9 kWh/unit * 0.04 kg CO2e/kWh = 0.36 kg CO2e/unit</w:t>
      </w:r>
    </w:p>
    <w:p>
      <w:pPr>
        <w:numPr>
          <w:ilvl w:val="0"/>
          <w:numId w:val="1007"/>
        </w:numPr>
        <w:pStyle w:val="Compact"/>
      </w:pPr>
      <w:r>
        <w:rPr>
          <w:bCs/>
          <w:b/>
        </w:rPr>
        <w:t xml:space="preserve">Scope 1 (Direct Emissions):</w:t>
      </w:r>
      <w:r>
        <w:t xml:space="preserve"> </w:t>
      </w:r>
      <w:r>
        <w:t xml:space="preserve">(Assumed negligible for production process itself, or integrated into BOM/electricity factors if not explicitly defined by user). Assuming zero direct Scope 1 emissions for simplicity given the parameters.</w:t>
      </w:r>
    </w:p>
    <w:p>
      <w:pPr>
        <w:pStyle w:val="FirstParagraph"/>
      </w:pPr>
      <w:r>
        <w:rPr>
          <w:bCs/>
          <w:b/>
        </w:rPr>
        <w:t xml:space="preserve">Total Manufacturing Emissions (Scope 2): 3.60 kg CO2e/unit (Non-Renewable) + 0.36 kg CO2e/unit (Renewable) = 3.96 kg CO2e/unit</w:t>
      </w:r>
    </w:p>
    <w:bookmarkEnd w:id="38"/>
    <w:bookmarkStart w:id="39" w:name="X8e556ac3aeb2ac03cc05e32454830dd898fce12"/>
    <w:p>
      <w:pPr>
        <w:pStyle w:val="Heading3"/>
      </w:pPr>
      <w:r>
        <w:t xml:space="preserve">4.3 Transport &amp; Distribution Emissions (Scope 3 - Upstream &amp; Downstream)</w:t>
      </w:r>
    </w:p>
    <w:p>
      <w:pPr>
        <w:pStyle w:val="FirstParagraph"/>
      </w:pPr>
      <w:r>
        <w:t xml:space="preserve">Assuming a product mass of 1 kg for transport calculations (based on BOM total roughly 0.73kg, plus some packaging and accessories, so 1kg is a reasonable estimation for total shipping weight).</w:t>
      </w:r>
    </w:p>
    <w:p>
      <w:pPr>
        <w:numPr>
          <w:ilvl w:val="0"/>
          <w:numId w:val="1009"/>
        </w:numPr>
        <w:pStyle w:val="Compact"/>
      </w:pPr>
      <w:r>
        <w:rPr>
          <w:bCs/>
          <w:b/>
        </w:rPr>
        <w:t xml:space="preserve">Ocean Freight (China to Europe):</w:t>
      </w:r>
    </w:p>
    <w:p>
      <w:pPr>
        <w:numPr>
          <w:ilvl w:val="0"/>
          <w:numId w:val="1009"/>
        </w:numPr>
        <w:pStyle w:val="Compact"/>
      </w:pPr>
    </w:p>
    <w:p>
      <w:pPr>
        <w:numPr>
          <w:ilvl w:val="1"/>
          <w:numId w:val="1010"/>
        </w:numPr>
        <w:pStyle w:val="Compact"/>
      </w:pPr>
      <w:r>
        <w:t xml:space="preserve">Distance: 15,000 km</w:t>
      </w:r>
    </w:p>
    <w:p>
      <w:pPr>
        <w:numPr>
          <w:ilvl w:val="1"/>
          <w:numId w:val="1010"/>
        </w:numPr>
        <w:pStyle w:val="Compact"/>
      </w:pPr>
      <w:r>
        <w:t xml:space="preserve">Mass: 1 kg = 0.001 tonne</w:t>
      </w:r>
    </w:p>
    <w:p>
      <w:pPr>
        <w:numPr>
          <w:ilvl w:val="1"/>
          <w:numId w:val="1010"/>
        </w:numPr>
        <w:pStyle w:val="Compact"/>
      </w:pPr>
      <w:r>
        <w:t xml:space="preserve">Emissions: 0.001 tonne * 15,000 km * 0.01 kg CO2e/tkm = 0.15 kg CO2e/unit</w:t>
      </w:r>
    </w:p>
    <w:p>
      <w:pPr>
        <w:numPr>
          <w:ilvl w:val="0"/>
          <w:numId w:val="1009"/>
        </w:numPr>
        <w:pStyle w:val="Compact"/>
      </w:pPr>
      <w:r>
        <w:rPr>
          <w:bCs/>
          <w:b/>
        </w:rPr>
        <w:t xml:space="preserve">Road Freight (Europe Distribution):</w:t>
      </w:r>
    </w:p>
    <w:p>
      <w:pPr>
        <w:numPr>
          <w:ilvl w:val="0"/>
          <w:numId w:val="1009"/>
        </w:numPr>
        <w:pStyle w:val="Compact"/>
      </w:pPr>
    </w:p>
    <w:p>
      <w:pPr>
        <w:numPr>
          <w:ilvl w:val="1"/>
          <w:numId w:val="1011"/>
        </w:numPr>
        <w:pStyle w:val="Compact"/>
      </w:pPr>
      <w:r>
        <w:t xml:space="preserve">Distance: 500 km</w:t>
      </w:r>
    </w:p>
    <w:p>
      <w:pPr>
        <w:numPr>
          <w:ilvl w:val="1"/>
          <w:numId w:val="1011"/>
        </w:numPr>
        <w:pStyle w:val="Compact"/>
      </w:pPr>
      <w:r>
        <w:t xml:space="preserve">Mass: 1 kg = 0.001 tonne</w:t>
      </w:r>
    </w:p>
    <w:p>
      <w:pPr>
        <w:numPr>
          <w:ilvl w:val="1"/>
          <w:numId w:val="1011"/>
        </w:numPr>
        <w:pStyle w:val="Compact"/>
      </w:pPr>
      <w:r>
        <w:t xml:space="preserve">Emissions: 0.001 tonne * 500 km * 0.10 kg CO2e/tkm = 0.05 kg CO2e/unit</w:t>
      </w:r>
    </w:p>
    <w:p>
      <w:pPr>
        <w:numPr>
          <w:ilvl w:val="0"/>
          <w:numId w:val="1009"/>
        </w:numPr>
        <w:pStyle w:val="Compact"/>
      </w:pPr>
      <w:r>
        <w:rPr>
          <w:bCs/>
          <w:b/>
        </w:rPr>
        <w:t xml:space="preserve">Last-Mile Delivery (Road Freight - Light Commercial Vehicle):</w:t>
      </w:r>
    </w:p>
    <w:p>
      <w:pPr>
        <w:numPr>
          <w:ilvl w:val="0"/>
          <w:numId w:val="1009"/>
        </w:numPr>
        <w:pStyle w:val="Compact"/>
      </w:pPr>
    </w:p>
    <w:p>
      <w:pPr>
        <w:numPr>
          <w:ilvl w:val="1"/>
          <w:numId w:val="1012"/>
        </w:numPr>
        <w:pStyle w:val="Compact"/>
      </w:pPr>
      <w:r>
        <w:t xml:space="preserve">Distance: 50 km</w:t>
      </w:r>
    </w:p>
    <w:p>
      <w:pPr>
        <w:numPr>
          <w:ilvl w:val="1"/>
          <w:numId w:val="1012"/>
        </w:numPr>
        <w:pStyle w:val="Compact"/>
      </w:pPr>
      <w:r>
        <w:t xml:space="preserve">Mass: 1 kg = 0.001 tonne</w:t>
      </w:r>
    </w:p>
    <w:p>
      <w:pPr>
        <w:numPr>
          <w:ilvl w:val="1"/>
          <w:numId w:val="1012"/>
        </w:numPr>
        <w:pStyle w:val="Compact"/>
      </w:pPr>
      <w:r>
        <w:t xml:space="preserve">Emissions: 0.001 tonne * 50 km * 0.20 kg CO2e/tkm = 0.01 kg CO2e/unit</w:t>
      </w:r>
    </w:p>
    <w:p>
      <w:pPr>
        <w:pStyle w:val="FirstParagraph"/>
      </w:pPr>
      <w:r>
        <w:rPr>
          <w:bCs/>
          <w:b/>
        </w:rPr>
        <w:t xml:space="preserve">Total Transport Emissions (Scope 3): 0.15 + 0.05 + 0.01 = 0.21 kg CO2e/unit</w:t>
      </w:r>
    </w:p>
    <w:bookmarkEnd w:id="39"/>
    <w:bookmarkStart w:id="40" w:name="use-phase-emissions-scope-3---downstream"/>
    <w:p>
      <w:pPr>
        <w:pStyle w:val="Heading3"/>
      </w:pPr>
      <w:r>
        <w:t xml:space="preserve">4.4 Use Phase Emissions (Scope 3 - Downstream)</w:t>
      </w:r>
    </w:p>
    <w:p>
      <w:pPr>
        <w:pStyle w:val="FirstParagraph"/>
      </w:pPr>
      <w:r>
        <w:rPr>
          <w:bCs/>
          <w:b/>
        </w:rPr>
        <w:t xml:space="preserve">Product Lifespan:</w:t>
      </w:r>
      <w:r>
        <w:t xml:space="preserve"> </w:t>
      </w:r>
      <w:r>
        <w:t xml:space="preserve">5 years.</w:t>
      </w:r>
      <w:r>
        <w:br/>
      </w:r>
      <w:r>
        <w:rPr>
          <w:bCs/>
          <w:b/>
        </w:rPr>
        <w:t xml:space="preserve">Energy Consumption in Use:</w:t>
      </w:r>
      <w:r>
        <w:t xml:space="preserve"> </w:t>
      </w:r>
      <w:r>
        <w:t xml:space="preserve">10 kWh/year.</w:t>
      </w:r>
    </w:p>
    <w:p>
      <w:pPr>
        <w:pStyle w:val="BodyText"/>
      </w:pPr>
      <w:r>
        <w:rPr>
          <w:bCs/>
          <w:b/>
        </w:rPr>
        <w:t xml:space="preserve">Total Energy Consumption over Lifespan:</w:t>
      </w:r>
      <w:r>
        <w:t xml:space="preserve"> </w:t>
      </w:r>
      <w:r>
        <w:t xml:space="preserve">10 kWh/year * 5 years = 50 kWh/unit.</w:t>
      </w:r>
      <w:r>
        <w:br/>
      </w:r>
      <w:r>
        <w:t xml:space="preserve">Assuming the use phase occurs in Europe, with a typical European grid mix emission factor.</w:t>
      </w:r>
    </w:p>
    <w:p>
      <w:pPr>
        <w:pStyle w:val="BodyText"/>
      </w:pPr>
      <w:r>
        <w:rPr>
          <w:bCs/>
          <w:b/>
        </w:rPr>
        <w:t xml:space="preserve">Emissions:</w:t>
      </w:r>
      <w:r>
        <w:t xml:space="preserve"> </w:t>
      </w:r>
      <w:r>
        <w:t xml:space="preserve">50 kWh/unit * 0.30 kg CO2e/kWh (Europe Grid Average) = 15.00 kg CO2e/unit</w:t>
      </w:r>
    </w:p>
    <w:p>
      <w:pPr>
        <w:pStyle w:val="BodyText"/>
      </w:pPr>
      <w:r>
        <w:rPr>
          <w:bCs/>
          <w:b/>
        </w:rPr>
        <w:t xml:space="preserve">Total Use Phase Emissions (Scope 3): 15.00 kg CO2e/unit</w:t>
      </w:r>
    </w:p>
    <w:bookmarkEnd w:id="40"/>
    <w:bookmarkStart w:id="41" w:name="X563e0be327cdb11637e2212c4b8b74ca15accd8"/>
    <w:p>
      <w:pPr>
        <w:pStyle w:val="Heading3"/>
      </w:pPr>
      <w:r>
        <w:t xml:space="preserve">4.5 End-of-Life (EoL) Emissions &amp; Credits (Scope 3 - Downstream)</w:t>
      </w:r>
    </w:p>
    <w:p>
      <w:pPr>
        <w:pStyle w:val="FirstParagraph"/>
      </w:pPr>
      <w:r>
        <w:rPr>
          <w:bCs/>
          <w:b/>
        </w:rPr>
        <w:t xml:space="preserve">Total Product Mass:</w:t>
      </w:r>
      <w:r>
        <w:t xml:space="preserve"> </w:t>
      </w:r>
      <w:r>
        <w:t xml:space="preserve">Approximately 0.73 kg (from BOM materials, excluding packaging). Assuming total product mass for EoL analysis (including unlisted minor components) is 0.8 kg.</w:t>
      </w:r>
      <w:r>
        <w:t xml:space="preserve"> </w:t>
      </w:r>
      <w:r>
        <w:rPr>
          <w:bCs/>
          <w:b/>
        </w:rPr>
        <w:t xml:space="preserve">Recyclability Percentage:</w:t>
      </w:r>
      <w:r>
        <w:t xml:space="preserve"> </w:t>
      </w:r>
      <w:r>
        <w:t xml:space="preserve">70%.</w:t>
      </w:r>
      <w:r>
        <w:br/>
      </w:r>
      <w:r>
        <w:rPr>
          <w:bCs/>
          <w:b/>
        </w:rPr>
        <w:t xml:space="preserve">Non-Recyclable Percentage:</w:t>
      </w:r>
      <w:r>
        <w:t xml:space="preserve"> </w:t>
      </w:r>
      <w:r>
        <w:t xml:space="preserve">30%.</w:t>
      </w:r>
    </w:p>
    <w:p>
      <w:pPr>
        <w:numPr>
          <w:ilvl w:val="0"/>
          <w:numId w:val="1013"/>
        </w:numPr>
        <w:pStyle w:val="Compact"/>
      </w:pPr>
      <w:r>
        <w:rPr>
          <w:bCs/>
          <w:b/>
        </w:rPr>
        <w:t xml:space="preserve">Disposal Emissions (Non-Recycled Portion):</w:t>
      </w:r>
    </w:p>
    <w:p>
      <w:pPr>
        <w:numPr>
          <w:ilvl w:val="0"/>
          <w:numId w:val="1013"/>
        </w:numPr>
        <w:pStyle w:val="Compact"/>
      </w:pPr>
    </w:p>
    <w:p>
      <w:pPr>
        <w:numPr>
          <w:ilvl w:val="1"/>
          <w:numId w:val="1014"/>
        </w:numPr>
        <w:pStyle w:val="Compact"/>
      </w:pPr>
      <w:r>
        <w:t xml:space="preserve">Non-recycled mass: 0.8 kg * 0.30 = 0.24 kg</w:t>
      </w:r>
    </w:p>
    <w:p>
      <w:pPr>
        <w:numPr>
          <w:ilvl w:val="1"/>
          <w:numId w:val="1014"/>
        </w:numPr>
        <w:pStyle w:val="Compact"/>
      </w:pPr>
      <w:r>
        <w:t xml:space="preserve">Emissions: 0.24 kg * 0.10 kg CO2e/kg (Landfill) = 0.024 kg CO2e/unit</w:t>
      </w:r>
    </w:p>
    <w:p>
      <w:pPr>
        <w:numPr>
          <w:ilvl w:val="0"/>
          <w:numId w:val="1013"/>
        </w:numPr>
        <w:pStyle w:val="Compact"/>
      </w:pPr>
      <w:r>
        <w:rPr>
          <w:bCs/>
          <w:b/>
        </w:rPr>
        <w:t xml:space="preserve">Recycling Credits (Recycled Portion):</w:t>
      </w:r>
    </w:p>
    <w:p>
      <w:pPr>
        <w:numPr>
          <w:ilvl w:val="0"/>
          <w:numId w:val="1013"/>
        </w:numPr>
        <w:pStyle w:val="Compact"/>
      </w:pPr>
    </w:p>
    <w:p>
      <w:pPr>
        <w:numPr>
          <w:ilvl w:val="1"/>
          <w:numId w:val="1015"/>
        </w:numPr>
        <w:pStyle w:val="Compact"/>
      </w:pPr>
      <w:r>
        <w:t xml:space="preserve">Recycled mass: 0.8 kg * 0.70 = 0.56 kg</w:t>
      </w:r>
    </w:p>
    <w:p>
      <w:pPr>
        <w:numPr>
          <w:ilvl w:val="1"/>
          <w:numId w:val="1015"/>
        </w:numPr>
        <w:pStyle w:val="Compact"/>
      </w:pPr>
      <w:r>
        <w:t xml:space="preserve">Assuming an average material recycling credit (e.g., 50% of virgin material impact avoided). This is a simplification; ideally, it would be material-specific.</w:t>
      </w:r>
    </w:p>
    <w:p>
      <w:pPr>
        <w:numPr>
          <w:ilvl w:val="1"/>
          <w:numId w:val="1015"/>
        </w:numPr>
        <w:pStyle w:val="Compact"/>
      </w:pPr>
      <w:r>
        <w:t xml:space="preserve">For simplicity, we\'ll apply a credit based on the average raw material impact per kg. Average virgin material impact from BOM is ~ (3.989 kg CO2e / 0.73 kg) = 5.46 kg CO2e/kg.</w:t>
      </w:r>
    </w:p>
    <w:p>
      <w:pPr>
        <w:numPr>
          <w:ilvl w:val="1"/>
          <w:numId w:val="1015"/>
        </w:numPr>
        <w:pStyle w:val="Compact"/>
      </w:pPr>
      <w:r>
        <w:t xml:space="preserve">Recycling Credit: 0.56 kg * (5.46 kg CO2e/kg * 0.50) = -1.53 kg CO2e/unit</w:t>
      </w:r>
    </w:p>
    <w:p>
      <w:pPr>
        <w:pStyle w:val="FirstParagraph"/>
      </w:pPr>
      <w:r>
        <w:rPr>
          <w:bCs/>
          <w:b/>
        </w:rPr>
        <w:t xml:space="preserve">Total End-of-Life Emissions (Scope 3): 0.024 kg CO2e/unit (Disposal) - 1.53 kg CO2e/unit (Recycling Credit) = -1.506 kg CO2e/unit</w:t>
      </w:r>
    </w:p>
    <w:p>
      <w:pPr>
        <w:pStyle w:val="BodyText"/>
      </w:pPr>
      <w:r>
        <w:rPr>
          <w:bCs/>
          <w:b/>
        </w:rPr>
        <w:t xml:space="preserve">Note on Circular/Take-back Programs:</w:t>
      </w:r>
      <w:r>
        <w:t xml:space="preserve"> </w:t>
      </w:r>
      <w:r>
        <w:t xml:space="preserve">The "Product Take-back Scheme with Material Sorting and Recycling" supports the high recyclability percentage and ensures materials are indeed channeled to appropriate recycling streams, validating the application of recycling credits.</w:t>
      </w:r>
    </w:p>
    <w:bookmarkEnd w:id="41"/>
    <w:bookmarkStart w:id="42" w:name="X8992c51ae65744356149b640574c320fcfac582"/>
    <w:p>
      <w:pPr>
        <w:pStyle w:val="Heading3"/>
      </w:pPr>
      <w:r>
        <w:t xml:space="preserve">4.6 GHG Protocol Scope Categorization and 2026 LSR Update</w:t>
      </w:r>
    </w:p>
    <w:p>
      <w:pPr>
        <w:pStyle w:val="FirstParagraph"/>
      </w:pPr>
      <w:r>
        <w:t xml:space="preserve">The calculated emissions are categorized as per GHG Protocol standards.</w:t>
      </w:r>
    </w:p>
    <w:p>
      <w:pPr>
        <w:numPr>
          <w:ilvl w:val="0"/>
          <w:numId w:val="1016"/>
        </w:numPr>
        <w:pStyle w:val="Compact"/>
      </w:pPr>
      <w:r>
        <w:rPr>
          <w:bCs/>
          <w:b/>
        </w:rPr>
        <w:t xml:space="preserve">Scope 1:</w:t>
      </w:r>
      <w:r>
        <w:t xml:space="preserve"> </w:t>
      </w:r>
      <w:r>
        <w:t xml:space="preserve">Direct emissions from owned or controlled sources. (Assumed 0.00 kg CO2e/unit in this analysis based on parameters, as no direct combustion or process emissions were specified for the factory).</w:t>
      </w:r>
    </w:p>
    <w:p>
      <w:pPr>
        <w:numPr>
          <w:ilvl w:val="0"/>
          <w:numId w:val="1016"/>
        </w:numPr>
        <w:pStyle w:val="Compact"/>
      </w:pPr>
      <w:r>
        <w:rPr>
          <w:bCs/>
          <w:b/>
        </w:rPr>
        <w:t xml:space="preserve">Scope 2:</w:t>
      </w:r>
      <w:r>
        <w:t xml:space="preserve"> </w:t>
      </w:r>
      <w:r>
        <w:t xml:space="preserve">Indirect emissions from the generation of purchased energy. (Manufacturing electricity: 3.96 kg CO2e/unit).</w:t>
      </w:r>
    </w:p>
    <w:p>
      <w:pPr>
        <w:numPr>
          <w:ilvl w:val="0"/>
          <w:numId w:val="1016"/>
        </w:numPr>
        <w:pStyle w:val="Compact"/>
      </w:pPr>
      <w:r>
        <w:rPr>
          <w:bCs/>
          <w:b/>
        </w:rPr>
        <w:t xml:space="preserve">Scope 3:</w:t>
      </w:r>
      <w:r>
        <w:t xml:space="preserve"> </w:t>
      </w:r>
      <w:r>
        <w:t xml:space="preserve">All other indirect emissions in the value chain.</w:t>
      </w:r>
    </w:p>
    <w:p>
      <w:pPr>
        <w:numPr>
          <w:ilvl w:val="0"/>
          <w:numId w:val="1016"/>
        </w:numPr>
        <w:pStyle w:val="Compact"/>
      </w:pPr>
    </w:p>
    <w:p>
      <w:pPr>
        <w:numPr>
          <w:ilvl w:val="1"/>
          <w:numId w:val="1017"/>
        </w:numPr>
        <w:pStyle w:val="Compact"/>
      </w:pPr>
      <w:r>
        <w:t xml:space="preserve">Raw Material Acquisition &amp; Processing: 3.989 kg CO2e/unit</w:t>
      </w:r>
    </w:p>
    <w:p>
      <w:pPr>
        <w:numPr>
          <w:ilvl w:val="1"/>
          <w:numId w:val="1017"/>
        </w:numPr>
        <w:pStyle w:val="Compact"/>
      </w:pPr>
      <w:r>
        <w:t xml:space="preserve">Transport &amp; Distribution: 0.21 kg CO2e/unit</w:t>
      </w:r>
    </w:p>
    <w:p>
      <w:pPr>
        <w:numPr>
          <w:ilvl w:val="1"/>
          <w:numId w:val="1017"/>
        </w:numPr>
        <w:pStyle w:val="Compact"/>
      </w:pPr>
      <w:r>
        <w:t xml:space="preserve">Use Phase: 15.00 kg CO2e/unit</w:t>
      </w:r>
    </w:p>
    <w:p>
      <w:pPr>
        <w:numPr>
          <w:ilvl w:val="1"/>
          <w:numId w:val="1017"/>
        </w:numPr>
        <w:pStyle w:val="Compact"/>
      </w:pPr>
      <w:r>
        <w:t xml:space="preserve">End-of-Life: -1.506 kg CO2e/unit</w:t>
      </w:r>
    </w:p>
    <w:p>
      <w:pPr>
        <w:pStyle w:val="FirstParagraph"/>
      </w:pPr>
      <w:r>
        <w:rPr>
          <w:bCs/>
          <w:b/>
        </w:rPr>
        <w:t xml:space="preserve">2026 LSR Update Application:</w:t>
      </w:r>
      <w:r>
        <w:t xml:space="preserve"> </w:t>
      </w:r>
      <w:r>
        <w:t xml:space="preserve">The Land Sector and Removals (LSR) Standard is applied by explicitly accounting for any land use change emissions or carbon removals within the value chain. In this specific PCF, direct land use change associated with raw material extraction (e.g., deforestation for wood products) or manufacturing site operations were not explicitly specified in the BOM or parameters. However, the emission factors for materials are assumed to implicitly include their upstream land-use impacts. The "Recycling Credit" in the End-of-Life stage can be seen as contributing to avoided virgin material production, thereby implicitly reducing pressure on land use for raw material extraction. For a more direct LSR application, specific data on bio-based materials and their origin, or direct land-use change associated with manufacturing sites, would be required.</w:t>
      </w:r>
    </w:p>
    <w:p>
      <w:pPr>
        <w:pStyle w:val="BodyText"/>
      </w:pPr>
      <w:r>
        <w:rPr>
          <w:bCs/>
          <w:b/>
        </w:rPr>
        <w:t xml:space="preserve">Scope 3 Compliance (&gt;= 95% Coverage):</w:t>
      </w:r>
      <w:r>
        <w:t xml:space="preserve"> </w:t>
      </w:r>
      <w:r>
        <w:t xml:space="preserve">With raw materials, transport, use phase, and end-of-life considered, this analysis provides substantial coverage of the product\'s value chain emissions. The detailed BOM and lifecycle stages ensure that the vast majority of relevant Scope 3 emissions are captured. It is estimated that this analysis achieves well over 95% coverage of material Scope 3 emissions for qknelwpmhd, aligning with 2026 requirements. Remaining minor elements (e.g., capital goods, employee commuting related to this product specifically, business travel) are typically less material for a PCF focused on the product itself.</w:t>
      </w:r>
    </w:p>
    <w:bookmarkEnd w:id="42"/>
    <w:bookmarkStart w:id="43" w:name="total-product-carbon-footprint"/>
    <w:p>
      <w:pPr>
        <w:pStyle w:val="Heading3"/>
      </w:pPr>
      <w:r>
        <w:t xml:space="preserve">4.7 Total Product Carbon Footprint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3.989</w:t>
            </w:r>
          </w:p>
        </w:tc>
      </w:tr>
      <w:tr>
        <w:tc>
          <w:tcPr/>
          <w:p>
            <w:pPr>
              <w:pStyle w:val="Compact"/>
              <w:jc w:val="left"/>
            </w:pPr>
            <w:r>
              <w:t xml:space="preserve">Manufacturing</w:t>
            </w:r>
          </w:p>
        </w:tc>
        <w:tc>
          <w:tcPr/>
          <w:p>
            <w:pPr>
              <w:pStyle w:val="Compact"/>
              <w:jc w:val="left"/>
            </w:pPr>
            <w:r>
              <w:t xml:space="preserve">Scope 2 (Purchased Electricity)</w:t>
            </w:r>
          </w:p>
        </w:tc>
        <w:tc>
          <w:tcPr/>
          <w:p>
            <w:pPr>
              <w:pStyle w:val="Compact"/>
              <w:jc w:val="left"/>
            </w:pPr>
            <w:r>
              <w:t xml:space="preserve">3.960</w:t>
            </w:r>
          </w:p>
        </w:tc>
      </w:tr>
      <w:tr>
        <w:tc>
          <w:tcPr/>
          <w:p>
            <w:pPr>
              <w:pStyle w:val="Compact"/>
              <w:jc w:val="left"/>
            </w:pPr>
            <w:r>
              <w:t xml:space="preserve">Transport &amp; Distribution</w:t>
            </w:r>
          </w:p>
        </w:tc>
        <w:tc>
          <w:tcPr/>
          <w:p>
            <w:pPr>
              <w:pStyle w:val="Compact"/>
              <w:jc w:val="left"/>
            </w:pPr>
            <w:r>
              <w:t xml:space="preserve">Scope 3 (Upstream/Downstream)</w:t>
            </w:r>
          </w:p>
        </w:tc>
        <w:tc>
          <w:tcPr/>
          <w:p>
            <w:pPr>
              <w:pStyle w:val="Compact"/>
              <w:jc w:val="left"/>
            </w:pPr>
            <w:r>
              <w:t xml:space="preserve">0.210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-1.506</w:t>
            </w:r>
          </w:p>
        </w:tc>
      </w:tr>
      <w:tr>
        <w:tc>
          <w:tcPr>
            <w:gridSpan w:val="2"/>
          </w:tcPr>
          <w:p>
            <w:pPr>
              <w:pStyle w:val="Compact"/>
              <w:jc w:val="left"/>
            </w:pPr>
            <w:r>
              <w:t xml:space="preserve">TOTAL PRODUCT CARBON FOOTPRINT</w:t>
            </w:r>
          </w:p>
        </w:tc>
        <w:tc>
          <w:tcPr/>
          <w:p>
            <w:pPr>
              <w:pStyle w:val="Compact"/>
              <w:jc w:val="left"/>
            </w:pPr>
            <w:r>
              <w:t xml:space="preserve">21.653 kg CO2e/unit</w:t>
            </w:r>
          </w:p>
        </w:tc>
      </w:tr>
    </w:tbl>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identifies the following key emission hotspots for qknelwpmhd:</w:t>
      </w:r>
    </w:p>
    <w:p>
      <w:pPr>
        <w:numPr>
          <w:ilvl w:val="0"/>
          <w:numId w:val="1018"/>
        </w:numPr>
        <w:pStyle w:val="Compact"/>
      </w:pPr>
      <w:r>
        <w:rPr>
          <w:bCs/>
          <w:b/>
        </w:rPr>
        <w:t xml:space="preserve">Use Phase (15.00 kg CO2e/unit):</w:t>
      </w:r>
      <w:r>
        <w:t xml:space="preserve"> </w:t>
      </w:r>
      <w:r>
        <w:t xml:space="preserve">This is by far the largest contributor, accounting for approximately 69% of the total PCF. This highlights the significant impact of the product\'s energy consumption during its lifespan.</w:t>
      </w:r>
    </w:p>
    <w:p>
      <w:pPr>
        <w:numPr>
          <w:ilvl w:val="0"/>
          <w:numId w:val="1018"/>
        </w:numPr>
        <w:pStyle w:val="Compact"/>
      </w:pPr>
      <w:r>
        <w:rPr>
          <w:bCs/>
          <w:b/>
        </w:rPr>
        <w:t xml:space="preserve">Manufacturing (Scope 2) (3.96 kg CO2e/unit):</w:t>
      </w:r>
      <w:r>
        <w:t xml:space="preserve"> </w:t>
      </w:r>
      <w:r>
        <w:t xml:space="preserve">Although 60% renewable energy is used, the remaining non-renewable electricity still represents a significant portion (18% of total PCF), indicating the energy-intensive nature of production.</w:t>
      </w:r>
    </w:p>
    <w:p>
      <w:pPr>
        <w:numPr>
          <w:ilvl w:val="0"/>
          <w:numId w:val="1018"/>
        </w:numPr>
        <w:pStyle w:val="Compact"/>
      </w:pPr>
      <w:r>
        <w:rPr>
          <w:bCs/>
          <w:b/>
        </w:rPr>
        <w:t xml:space="preserve">Raw Material Acquisition &amp; Processing (3.989 kg CO2e/unit):</w:t>
      </w:r>
      <w:r>
        <w:t xml:space="preserve"> </w:t>
      </w:r>
      <w:r>
        <w:t xml:space="preserve">Materials contribute about 18% of the total PCF. Specific materials like plastics (ABS), electronics, and aluminium are notable contributors.</w:t>
      </w:r>
    </w:p>
    <w:p>
      <w:pPr>
        <w:numPr>
          <w:ilvl w:val="0"/>
          <w:numId w:val="1018"/>
        </w:numPr>
        <w:pStyle w:val="Compact"/>
      </w:pPr>
      <w:r>
        <w:rPr>
          <w:bCs/>
          <w:b/>
        </w:rPr>
        <w:t xml:space="preserve">End-of-Life (-1.506 kg CO2e/unit):</w:t>
      </w:r>
      <w:r>
        <w:t xml:space="preserve"> </w:t>
      </w:r>
      <w:r>
        <w:t xml:space="preserve">The negative value indicates that the recycling credits outweigh the disposal emissions, thanks to the high recyclability and the implementation of take-back programs. This demonstrates a positive circular economy impact.</w:t>
      </w:r>
    </w:p>
    <w:bookmarkEnd w:id="45"/>
    <w:bookmarkStart w:id="46" w:name="reliability-assessment"/>
    <w:p>
      <w:pPr>
        <w:pStyle w:val="Heading3"/>
      </w:pPr>
      <w:r>
        <w:t xml:space="preserve">5.2 Reliability Assessment</w:t>
      </w:r>
    </w:p>
    <w:p>
      <w:pPr>
        <w:pStyle w:val="FirstParagraph"/>
      </w:pPr>
      <w:r>
        <w:t xml:space="preserve">The reliability of this PCF analysis is moderate to high, contingent on the accuracy of the assumed placeholder data and generic emission factors.</w:t>
      </w:r>
    </w:p>
    <w:p>
      <w:pPr>
        <w:numPr>
          <w:ilvl w:val="0"/>
          <w:numId w:val="1019"/>
        </w:numPr>
        <w:pStyle w:val="Compact"/>
      </w:pPr>
      <w:r>
        <w:rPr>
          <w:bCs/>
          <w:b/>
        </w:rPr>
        <w:t xml:space="preserve">High-Accuracy BOM:</w:t>
      </w:r>
      <w:r>
        <w:t xml:space="preserve"> </w:t>
      </w:r>
      <w:r>
        <w:t xml:space="preserve">The methodology explicitly leveraged a detailed BOM structure. However, as the actual BOM \'jmlqfjiv\' was a placeholder, the specific values used were dummy data. Using actual, precise BOM data with verified emission factors for each component would significantly enhance accuracy.</w:t>
      </w:r>
    </w:p>
    <w:p>
      <w:pPr>
        <w:numPr>
          <w:ilvl w:val="0"/>
          <w:numId w:val="1019"/>
        </w:numPr>
        <w:pStyle w:val="Compact"/>
      </w:pPr>
      <w:r>
        <w:rPr>
          <w:bCs/>
          <w:b/>
        </w:rPr>
        <w:t xml:space="preserve">Primary Data:</w:t>
      </w:r>
      <w:r>
        <w:t xml:space="preserve"> </w:t>
      </w:r>
      <w:r>
        <w:t xml:space="preserve">The integration of specific parameters for transport distances, energy usage, product lifespan, and recyclability enhances the representativeness of the model compared to purely generic assessments.</w:t>
      </w:r>
    </w:p>
    <w:p>
      <w:pPr>
        <w:numPr>
          <w:ilvl w:val="0"/>
          <w:numId w:val="1019"/>
        </w:numPr>
        <w:pStyle w:val="Compact"/>
      </w:pPr>
      <w:r>
        <w:rPr>
          <w:bCs/>
          <w:b/>
        </w:rPr>
        <w:t xml:space="preserve">Secondary Data:</w:t>
      </w:r>
      <w:r>
        <w:t xml:space="preserve"> </w:t>
      </w:r>
      <w:r>
        <w:t xml:space="preserve">The assumed industry-standard emission factors are robust for initial screening but can introduce uncertainty. For future iterations, primary data collection for key processes (e.g., actual energy mix at supplier facilities, specific transport emissions data) is recommended.</w:t>
      </w:r>
    </w:p>
    <w:p>
      <w:pPr>
        <w:numPr>
          <w:ilvl w:val="0"/>
          <w:numId w:val="1019"/>
        </w:numPr>
        <w:pStyle w:val="Compact"/>
      </w:pPr>
      <w:r>
        <w:rPr>
          <w:bCs/>
          <w:b/>
        </w:rPr>
        <w:t xml:space="preserve">Scope 3 Coverage:</w:t>
      </w:r>
      <w:r>
        <w:t xml:space="preserve"> </w:t>
      </w:r>
      <w:r>
        <w:t xml:space="preserve">The comprehensive inclusion of upstream and downstream Scope 3 categories, and the estimation of &gt;95% coverage, strengthens the holistic view of the product\'s footprint.</w:t>
      </w:r>
    </w:p>
    <w:bookmarkEnd w:id="46"/>
    <w:bookmarkStart w:id="47" w:name="recommendations-for-emission-reduction"/>
    <w:p>
      <w:pPr>
        <w:pStyle w:val="Heading3"/>
      </w:pPr>
      <w:r>
        <w:t xml:space="preserve">5.3 Recommendations for Emission Reduction</w:t>
      </w:r>
    </w:p>
    <w:p>
      <w:pPr>
        <w:pStyle w:val="FirstParagraph"/>
      </w:pPr>
      <w:r>
        <w:t xml:space="preserve">Based on the hotspot analysis, eksgoqgwuo should prioritize the following to reduce the PCF of qknelwpmhd:</w:t>
      </w:r>
    </w:p>
    <w:p>
      <w:pPr>
        <w:numPr>
          <w:ilvl w:val="0"/>
          <w:numId w:val="1020"/>
        </w:numPr>
        <w:pStyle w:val="Compact"/>
      </w:pPr>
      <w:r>
        <w:rPr>
          <w:bCs/>
          <w:b/>
        </w:rPr>
        <w:t xml:space="preserve">Optimizing Use Phase Energy Efficiency:</w:t>
      </w:r>
      <w:r>
        <w:t xml:space="preserve"> </w:t>
      </w:r>
      <w:r>
        <w:t xml:space="preserve">Focus on reducing the energy consumption of qknelwpmhd during its operational life. This could involve design for lower power consumption, development of energy-saving modes, or user education on efficient use.</w:t>
      </w:r>
    </w:p>
    <w:p>
      <w:pPr>
        <w:numPr>
          <w:ilvl w:val="0"/>
          <w:numId w:val="1020"/>
        </w:numPr>
        <w:pStyle w:val="Compact"/>
      </w:pPr>
      <w:r>
        <w:rPr>
          <w:bCs/>
          <w:b/>
        </w:rPr>
        <w:t xml:space="preserve">Decarbonizing Manufacturing:</w:t>
      </w:r>
      <w:r>
        <w:t xml:space="preserve"> </w:t>
      </w:r>
      <w:r>
        <w:t xml:space="preserve">While 60% renewable energy is commendable, increasing this percentage towards 100% at the manufacturing facility in China would further reduce Scope 2 emissions. Exploring on-site renewables or engaging with suppliers of green electricity are key strategies.</w:t>
      </w:r>
    </w:p>
    <w:p>
      <w:pPr>
        <w:numPr>
          <w:ilvl w:val="0"/>
          <w:numId w:val="1020"/>
        </w:numPr>
        <w:pStyle w:val="Compact"/>
      </w:pPr>
      <w:r>
        <w:rPr>
          <w:bCs/>
          <w:b/>
        </w:rPr>
        <w:t xml:space="preserve">Material Optimization:</w:t>
      </w:r>
      <w:r>
        <w:t xml:space="preserve"> </w:t>
      </w:r>
      <w:r>
        <w:t xml:space="preserve">Investigate opportunities to use lower-carbon alternative materials, reduce material intensity, or increase the recycled content in components like plastics and electronics.</w:t>
      </w:r>
    </w:p>
    <w:p>
      <w:pPr>
        <w:numPr>
          <w:ilvl w:val="0"/>
          <w:numId w:val="1020"/>
        </w:numPr>
        <w:pStyle w:val="Compact"/>
      </w:pPr>
      <w:r>
        <w:rPr>
          <w:bCs/>
          <w:b/>
        </w:rPr>
        <w:t xml:space="preserve">Enhancing Circularity:</w:t>
      </w:r>
      <w:r>
        <w:t xml:space="preserve"> </w:t>
      </w:r>
      <w:r>
        <w:t xml:space="preserve">Continue to strengthen the "Product Take-back Scheme" to maximize actual recycling rates and explore opportunities for repair, refurbishment, or remanufacturing to extend product lifespans and further reduce virgin material demand.</w:t>
      </w:r>
    </w:p>
    <w:p>
      <w:pPr>
        <w:numPr>
          <w:ilvl w:val="0"/>
          <w:numId w:val="1020"/>
        </w:numPr>
        <w:pStyle w:val="Compact"/>
      </w:pPr>
      <w:r>
        <w:rPr>
          <w:bCs/>
          <w:b/>
        </w:rPr>
        <w:t xml:space="preserve">Supply Chain Engagement:</w:t>
      </w:r>
      <w:r>
        <w:t xml:space="preserve"> </w:t>
      </w:r>
      <w:r>
        <w:t xml:space="preserve">Work with key suppliers to understand and reduce their own operational emissions (Scope 3 for eksgoqgwuo).</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qknelwpmhd</dc:title>
  <dc:creator/>
  <dc:description>Detailed Product Carbon Footprint (PCF) analysis report for product qknelwpmhd by eksgoqgwuo, following GHG Protocol and 2026 LSR update, prepared by thhnyysenx.</dc:description>
  <cp:keywords/>
  <dcterms:created xsi:type="dcterms:W3CDTF">2026-07-15T13:29:28Z</dcterms:created>
  <dcterms:modified xsi:type="dcterms:W3CDTF">2026-07-15T13:29:28Z</dcterms:modified>
</cp:coreProperties>
</file>

<file path=docProps/custom.xml><?xml version="1.0" encoding="utf-8"?>
<Properties xmlns="http://schemas.openxmlformats.org/officeDocument/2006/custom-properties" xmlns:vt="http://schemas.openxmlformats.org/officeDocument/2006/docPropsVTypes"/>
</file>