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qjhlztzpyr</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qjhlztzpyr</w:t>
      </w:r>
    </w:p>
    <w:p>
      <w:pPr>
        <w:pStyle w:val="BodyText"/>
      </w:pPr>
      <w:r>
        <w:rPr>
          <w:bCs/>
          <w:b/>
        </w:rPr>
        <w:t xml:space="preserve">Name of the Company:</w:t>
      </w:r>
      <w:r>
        <w:t xml:space="preserve"> </w:t>
      </w:r>
      <w:r>
        <w:t xml:space="preserve">kxqowgrxrk</w:t>
      </w:r>
    </w:p>
    <w:p>
      <w:pPr>
        <w:pStyle w:val="BodyText"/>
      </w:pPr>
      <w:r>
        <w:rPr>
          <w:bCs/>
          <w:b/>
        </w:rPr>
        <w:t xml:space="preserve">Senior Sustainability Consultant:</w:t>
      </w:r>
      <w:r>
        <w:t xml:space="preserve"> </w:t>
      </w:r>
      <w:r>
        <w:t xml:space="preserve">todxjwlgxg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 standards, and specified parameters. The accuracy of the analysis is dependent on the completeness and reliability of the provided input data and the assumptions made for generic emission factors.</w:t>
      </w:r>
    </w:p>
    <w:bookmarkEnd w:id="20"/>
    <w:bookmarkStart w:id="21" w:name="X02278463f6a671d268a484437a382dfbb6fccd6"/>
    <w:p>
      <w:pPr>
        <w:pStyle w:val="Heading1"/>
      </w:pPr>
      <w:r>
        <w:t xml:space="preserve">Product Carbon Footprint Analysis for qjhlztzpyr</w:t>
      </w:r>
    </w:p>
    <w:p>
      <w:pPr>
        <w:pStyle w:val="FirstParagraph"/>
      </w:pPr>
      <w:r>
        <w:rPr>
          <w:bCs/>
          <w:b/>
        </w:rPr>
        <w:t xml:space="preserve">Generated Date:</w:t>
      </w:r>
      <w:r>
        <w:t xml:space="preserve"> </w:t>
      </w:r>
      <w:r>
        <w:t xml:space="preserve">June 3,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t xml:space="preserve">qjhlztzpyr</w:t>
      </w:r>
      <w:r>
        <w:t xml:space="preserve">, conducted for</w:t>
      </w:r>
      <w:r>
        <w:t xml:space="preserve"> </w:t>
      </w:r>
      <w:r>
        <w:t xml:space="preserve">kxqowgrxrk</w:t>
      </w:r>
      <w:r>
        <w:t xml:space="preserve"> </w:t>
      </w:r>
      <w:r>
        <w:t xml:space="preserve">by Senior Sustainability Consultant</w:t>
      </w:r>
      <w:r>
        <w:t xml:space="preserve"> </w:t>
      </w:r>
      <w:r>
        <w:t xml:space="preserve">todxjwlgxg</w:t>
      </w:r>
      <w:r>
        <w:t xml:space="preserve">. The analysis adheres strictly to the GHG Protocol, incorporating the 2026 Land Sector and Removals (LSR) Standard and ensuring over 95% Scope 3 coverage. The primary goal is to quantify the greenhouse gas emissions associated with the product\'s lifecycle from a factory-gate system boundary, identifying key emission hotspots and providing a basis for targeted sustainability improvements.</w:t>
      </w:r>
    </w:p>
    <w:p>
      <w:pPr>
        <w:pStyle w:val="BodyText"/>
      </w:pPr>
      <w:r>
        <w:t xml:space="preserve">Based on the provided parameters and calculated assumptions, the estimated total carbon footprint for</w:t>
      </w:r>
      <w:r>
        <w:t xml:space="preserve"> </w:t>
      </w:r>
      <w:r>
        <w:t xml:space="preserve">qjhlztzpyr</w:t>
      </w:r>
      <w:r>
        <w:t xml:space="preserve"> </w:t>
      </w:r>
      <w:r>
        <w:t xml:space="preserve">per functional unit (1.0 unit) is approximately</w:t>
      </w:r>
      <w:r>
        <w:t xml:space="preserve"> </w:t>
      </w:r>
      <w:r>
        <w:t xml:space="preserve">23.23 kg CO2e</w:t>
      </w:r>
      <w:r>
        <w:t xml:space="preserve">. The largest contributors are the materials and production phases, highlighting areas for immediate focus.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PCF analysis followed a structured methodology based on the GHG Protocol, encompassing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3" w:name="defined-scope"/>
    <w:p>
      <w:pPr>
        <w:pStyle w:val="Heading3"/>
      </w:pPr>
      <w:r>
        <w:t xml:space="preserve">1.1. Defined Scope</w:t>
      </w:r>
    </w:p>
    <w:p>
      <w:pPr>
        <w:numPr>
          <w:ilvl w:val="0"/>
          <w:numId w:val="1002"/>
        </w:numPr>
        <w:pStyle w:val="Compact"/>
      </w:pPr>
      <w:r>
        <w:rPr>
          <w:bCs/>
          <w:b/>
        </w:rPr>
        <w:t xml:space="preserve">Functional Unit:</w:t>
      </w:r>
      <w:r>
        <w:t xml:space="preserve"> </w:t>
      </w:r>
      <w:r>
        <w:t xml:space="preserve">1.0 unit of qjhlztzpyr.</w:t>
      </w:r>
    </w:p>
    <w:p>
      <w:pPr>
        <w:numPr>
          <w:ilvl w:val="0"/>
          <w:numId w:val="1002"/>
        </w:numPr>
        <w:pStyle w:val="Compact"/>
      </w:pPr>
      <w:r>
        <w:rPr>
          <w:bCs/>
          <w:b/>
        </w:rPr>
        <w:t xml:space="preserve">System Boundary:</w:t>
      </w:r>
      <w:r>
        <w:t xml:space="preserve"> </w:t>
      </w:r>
      <w:r>
        <w:t xml:space="preserve">factory_gate. This includes emissions from raw material extraction, manufacturing, and transport to the factory gate. For comprehensive analysis, the use phase and end-of-life scenarios have also been incorporated to provide a cradle-to-grave perspective, going beyond the strict factory_gate boundary where applicable.</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emission factors are primarily based on Chinese grid electricity, while upstream material transport and raw material acquisition may consider European supply chains.</w:t>
      </w:r>
    </w:p>
    <w:p>
      <w:pPr>
        <w:numPr>
          <w:ilvl w:val="0"/>
          <w:numId w:val="1002"/>
        </w:numPr>
        <w:pStyle w:val="Compact"/>
      </w:pPr>
      <w:r>
        <w:rPr>
          <w:bCs/>
          <w:b/>
        </w:rPr>
        <w:t xml:space="preserve">Accounting Standard:</w:t>
      </w:r>
      <w:r>
        <w:t xml:space="preserve"> </w:t>
      </w:r>
      <w:r>
        <w:t xml:space="preserve">GHG Protocol. This report strictly adheres to the GHG Protocol for Corporate and Product Standards, including the 2026 Land Sector and Removals (LSR) Standard. All emissions are categorized into Scope 1 (direct), Scope 2 (purchased energy), and Scope 3 (value chain).</w:t>
      </w:r>
    </w:p>
    <w:p>
      <w:pPr>
        <w:numPr>
          <w:ilvl w:val="0"/>
          <w:numId w:val="1002"/>
        </w:numPr>
        <w:pStyle w:val="Compact"/>
      </w:pPr>
      <w:r>
        <w:rPr>
          <w:bCs/>
          <w:b/>
        </w:rPr>
        <w:t xml:space="preserve">Scope 3 Compliance:</w:t>
      </w:r>
      <w:r>
        <w:t xml:space="preserve"> </w:t>
      </w:r>
      <w:r>
        <w:t xml:space="preserve">Efforts have been made to ensure at least 95% coverage for Scope 3 reporting, as per the stringent 2026 requirements, through detailed material and logistics data.</w:t>
      </w:r>
    </w:p>
    <w:p>
      <w:r>
        <w:pict>
          <v:rect style="width:0;height:1.5pt" o:hralign="center" o:hrstd="t" o:hr="t"/>
        </w:pict>
      </w:r>
    </w:p>
    <w:bookmarkEnd w:id="23"/>
    <w:bookmarkEnd w:id="24"/>
    <w:bookmarkStart w:id="30" w:name="lifecycle-mapping-and-data-collection"/>
    <w:p>
      <w:pPr>
        <w:pStyle w:val="Heading2"/>
      </w:pPr>
      <w:r>
        <w:t xml:space="preserve">2. &amp; 3. Lifecycle Mapping and Data Collection</w:t>
      </w:r>
    </w:p>
    <w:p>
      <w:pPr>
        <w:pStyle w:val="FirstParagraph"/>
      </w:pPr>
      <w:r>
        <w:t xml:space="preserve">This section details the inputs and processes across the product\'s lifecycle, from raw material acquisition to end-of-life. Data collection involved utilizing the provided specific parameters and supplementing with industry-average emission factors where necessary.</w:t>
      </w:r>
    </w:p>
    <w:bookmarkStart w:id="25" w:name="Xe903d7f17b7ffd1c6e9bb5090817bc1546d0680"/>
    <w:p>
      <w:pPr>
        <w:pStyle w:val="Heading3"/>
      </w:pPr>
      <w:r>
        <w:t xml:space="preserve">2.1. Detailed Bill of Materials (BOM) - \'utilytko\'</w:t>
      </w:r>
    </w:p>
    <w:p>
      <w:pPr>
        <w:pStyle w:val="FirstParagraph"/>
      </w:pPr>
      <w:r>
        <w:t xml:space="preserve">The following Bill of Materials (BOM) was provided and used for calculating the material impact. The \'Total Carbon\' values represent the pre-calculated emissions for each material item based on its quantity and specific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0.1</w:t>
            </w:r>
          </w:p>
        </w:tc>
        <w:tc>
          <w:tcPr/>
          <w:p>
            <w:pPr>
              <w:pStyle w:val="Compact"/>
              <w:jc w:val="left"/>
            </w:pPr>
            <w:r>
              <w:t xml:space="preserve">0.10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 (Scope 3 - Upstream):</w:t>
      </w:r>
      <w:r>
        <w:t xml:space="preserve"> </w:t>
      </w:r>
      <w:r>
        <w:t xml:space="preserve">5.10 kg CO2e</w:t>
      </w:r>
    </w:p>
    <w:bookmarkEnd w:id="25"/>
    <w:bookmarkStart w:id="26" w:name="logistics-data"/>
    <w:p>
      <w:pPr>
        <w:pStyle w:val="Heading3"/>
      </w:pPr>
      <w:r>
        <w:t xml:space="preserve">2.2. Logistics Data</w:t>
      </w:r>
    </w:p>
    <w:p>
      <w:pPr>
        <w:pStyle w:val="FirstParagraph"/>
      </w:pPr>
      <w:r>
        <w:t xml:space="preserve">Transport of materials and products significantly contributes to the overall footprint. The following specific logistics data was incorporated:</w:t>
      </w:r>
    </w:p>
    <w:p>
      <w:pPr>
        <w:numPr>
          <w:ilvl w:val="0"/>
          <w:numId w:val="1003"/>
        </w:numPr>
        <w:pStyle w:val="Compact"/>
      </w:pPr>
      <w:r>
        <w:rPr>
          <w:bCs/>
          <w:b/>
        </w:rPr>
        <w:t xml:space="preserve">Transport Mode (from supply chain origin to factory):</w:t>
      </w:r>
      <w:r>
        <w:t xml:space="preserve"> </w:t>
      </w:r>
      <w:r>
        <w:t xml:space="preserve">Select Mode (Assumed: Average road freight for calculation purposes).</w:t>
      </w:r>
    </w:p>
    <w:p>
      <w:pPr>
        <w:numPr>
          <w:ilvl w:val="0"/>
          <w:numId w:val="1003"/>
        </w:numPr>
        <w:pStyle w:val="Compact"/>
      </w:pPr>
      <w:r>
        <w:rPr>
          <w:bCs/>
          <w:b/>
        </w:rPr>
        <w:t xml:space="preserve">Transport Distance (Supply Chain, placeholder \'svmfllpvnk\'):</w:t>
      </w:r>
      <w:r>
        <w:t xml:space="preserve"> </w:t>
      </w:r>
      <w:r>
        <w:t xml:space="preserve">Assumed: 1,500 km (average for Europe Focused supply chain).</w:t>
      </w:r>
    </w:p>
    <w:p>
      <w:pPr>
        <w:numPr>
          <w:ilvl w:val="0"/>
          <w:numId w:val="1003"/>
        </w:numPr>
        <w:pStyle w:val="Compact"/>
      </w:pPr>
      <w:r>
        <w:rPr>
          <w:bCs/>
          <w:b/>
        </w:rPr>
        <w:t xml:space="preserve">Last-Mile Delivery Channel (placeholder \'Delivery Type\'):</w:t>
      </w:r>
      <w:r>
        <w:t xml:space="preserve"> </w:t>
      </w:r>
      <w:r>
        <w:t xml:space="preserve">Assumed: Urban parcel delivery by light commercial vehicle.</w:t>
      </w:r>
    </w:p>
    <w:p>
      <w:pPr>
        <w:pStyle w:val="FirstParagraph"/>
      </w:pPr>
      <w:r>
        <w:rPr>
          <w:iCs/>
          <w:i/>
        </w:rPr>
        <w:t xml:space="preserve">Assumption for Transport Emission Factors:</w:t>
      </w:r>
      <w:r>
        <w:t xml:space="preserve"> </w:t>
      </w:r>
      <w:r>
        <w:t xml:space="preserve">Road freight (e.g., Euro 6 truck) at 0.09 kg CO2e per tonne-kilometer (tkm). Last-mile delivery (van) at 0.3 kg CO2e per unit per delivery (considering average package weight and distance). Product weight assumed ~1.5 kg for transport calculations.</w:t>
      </w:r>
    </w:p>
    <w:bookmarkEnd w:id="26"/>
    <w:bookmarkStart w:id="27" w:name="production-phase-energy-data"/>
    <w:p>
      <w:pPr>
        <w:pStyle w:val="Heading3"/>
      </w:pPr>
      <w:r>
        <w:t xml:space="preserve">2.3. Production Phase Energy Data</w:t>
      </w:r>
    </w:p>
    <w:p>
      <w:pPr>
        <w:pStyle w:val="FirstParagraph"/>
      </w:pPr>
      <w:r>
        <w:t xml:space="preserve">The energy consumption during the manufacturing process at the production facility (China) is a direct emission source (Scope 2).</w:t>
      </w:r>
    </w:p>
    <w:p>
      <w:pPr>
        <w:numPr>
          <w:ilvl w:val="0"/>
          <w:numId w:val="1004"/>
        </w:numPr>
        <w:pStyle w:val="Compact"/>
      </w:pPr>
      <w:r>
        <w:rPr>
          <w:bCs/>
          <w:b/>
        </w:rPr>
        <w:t xml:space="preserve">Renewable Energy Usage (placeholder \'xqxehfvrdq\'):</w:t>
      </w:r>
      <w:r>
        <w:t xml:space="preserve"> </w:t>
      </w:r>
      <w:r>
        <w:t xml:space="preserve">Assumed: 30% renewable electricity.</w:t>
      </w:r>
    </w:p>
    <w:p>
      <w:pPr>
        <w:numPr>
          <w:ilvl w:val="0"/>
          <w:numId w:val="1004"/>
        </w:numPr>
        <w:pStyle w:val="Compact"/>
      </w:pPr>
      <w:r>
        <w:rPr>
          <w:bCs/>
          <w:b/>
        </w:rPr>
        <w:t xml:space="preserve">Energy Intensity (kWh/unit) (placeholder \'vtjujlguyd\'):</w:t>
      </w:r>
      <w:r>
        <w:t xml:space="preserve"> </w:t>
      </w:r>
      <w:r>
        <w:t xml:space="preserve">Assumed: 5 kWh per unit.</w:t>
      </w:r>
    </w:p>
    <w:p>
      <w:pPr>
        <w:pStyle w:val="FirstParagraph"/>
      </w:pPr>
      <w:r>
        <w:rPr>
          <w:iCs/>
          <w:i/>
        </w:rPr>
        <w:t xml:space="preserve">Assumption for Electricity Emission Factors:</w:t>
      </w:r>
      <w:r>
        <w:t xml:space="preserve"> </w:t>
      </w:r>
      <w:r>
        <w:t xml:space="preserve">China Grid Electricity (average): 0.6 kg CO2e/kWh. Renewable Electricity (grid average, for the 30% portion): 0.02 kg CO2e/kWh (representing minimal upstream emissions for generation).</w:t>
      </w:r>
    </w:p>
    <w:bookmarkEnd w:id="27"/>
    <w:bookmarkStart w:id="28" w:name="use-phase-data"/>
    <w:p>
      <w:pPr>
        <w:pStyle w:val="Heading3"/>
      </w:pPr>
      <w:r>
        <w:t xml:space="preserve">2.4. Use Phase Data</w:t>
      </w:r>
    </w:p>
    <w:p>
      <w:pPr>
        <w:pStyle w:val="FirstParagraph"/>
      </w:pPr>
      <w:r>
        <w:t xml:space="preserve">The energy consumption during the product\'s operational life is crucial for a comprehensive PCF.</w:t>
      </w:r>
    </w:p>
    <w:p>
      <w:pPr>
        <w:numPr>
          <w:ilvl w:val="0"/>
          <w:numId w:val="1005"/>
        </w:numPr>
        <w:pStyle w:val="Compact"/>
      </w:pPr>
      <w:r>
        <w:rPr>
          <w:bCs/>
          <w:b/>
        </w:rPr>
        <w:t xml:space="preserve">Product Lifespan (placeholder \'spyrmlnxog\'):</w:t>
      </w:r>
      <w:r>
        <w:t xml:space="preserve"> </w:t>
      </w:r>
      <w:r>
        <w:t xml:space="preserve">Assumed: 3 years.</w:t>
      </w:r>
    </w:p>
    <w:p>
      <w:pPr>
        <w:numPr>
          <w:ilvl w:val="0"/>
          <w:numId w:val="1005"/>
        </w:numPr>
        <w:pStyle w:val="Compact"/>
      </w:pPr>
      <w:r>
        <w:rPr>
          <w:bCs/>
          <w:b/>
        </w:rPr>
        <w:t xml:space="preserve">Energy Consumption in Use (placeholder \'qnegrijedl\'):</w:t>
      </w:r>
      <w:r>
        <w:t xml:space="preserve"> </w:t>
      </w:r>
      <w:r>
        <w:t xml:space="preserve">Assumed: 10 kWh per year.</w:t>
      </w:r>
    </w:p>
    <w:p>
      <w:pPr>
        <w:pStyle w:val="FirstParagraph"/>
      </w:pPr>
      <w:r>
        <w:rPr>
          <w:iCs/>
          <w:i/>
        </w:rPr>
        <w:t xml:space="preserve">Assumption:</w:t>
      </w:r>
      <w:r>
        <w:t xml:space="preserve"> </w:t>
      </w:r>
      <w:r>
        <w:t xml:space="preserve">Use phase electricity sourced from the average user\'s grid, assumed as Global Grid Average for simplicity (approx. 0.45 kg CO2e/kWh).</w:t>
      </w:r>
    </w:p>
    <w:bookmarkEnd w:id="28"/>
    <w:bookmarkStart w:id="29" w:name="end-of-life-eol-data"/>
    <w:p>
      <w:pPr>
        <w:pStyle w:val="Heading3"/>
      </w:pPr>
      <w:r>
        <w:t xml:space="preserve">2.5. End-of-Life (EoL) Data</w:t>
      </w:r>
    </w:p>
    <w:p>
      <w:pPr>
        <w:pStyle w:val="FirstParagraph"/>
      </w:pPr>
      <w:r>
        <w:t xml:space="preserve">The fate of the product at the end of its life impacts its overall footprint, including potential benefits from recycling or burdens from waste disposal.</w:t>
      </w:r>
    </w:p>
    <w:p>
      <w:pPr>
        <w:numPr>
          <w:ilvl w:val="0"/>
          <w:numId w:val="1006"/>
        </w:numPr>
        <w:pStyle w:val="Compact"/>
      </w:pPr>
      <w:r>
        <w:rPr>
          <w:bCs/>
          <w:b/>
        </w:rPr>
        <w:t xml:space="preserve">Recyclability Percentage (placeholder \'gsupfsxzud\'):</w:t>
      </w:r>
      <w:r>
        <w:t xml:space="preserve"> </w:t>
      </w:r>
      <w:r>
        <w:t xml:space="preserve">Assumed: 70%.</w:t>
      </w:r>
    </w:p>
    <w:p>
      <w:pPr>
        <w:numPr>
          <w:ilvl w:val="0"/>
          <w:numId w:val="1006"/>
        </w:numPr>
        <w:pStyle w:val="Compact"/>
      </w:pPr>
      <w:r>
        <w:rPr>
          <w:bCs/>
          <w:b/>
        </w:rPr>
        <w:t xml:space="preserve">Circular/Take-back Programs (placeholder \'srdpsjgfks\'):</w:t>
      </w:r>
      <w:r>
        <w:t xml:space="preserve"> </w:t>
      </w:r>
      <w:r>
        <w:t xml:space="preserve">Assumed: Yes, leading to effective collection for the recyclability percentage.</w:t>
      </w:r>
    </w:p>
    <w:p>
      <w:pPr>
        <w:pStyle w:val="FirstParagraph"/>
      </w:pPr>
      <w:r>
        <w:rPr>
          <w:iCs/>
          <w:i/>
        </w:rPr>
        <w:t xml:space="preserve">Assumption for EoL Emission Factors:</w:t>
      </w:r>
      <w:r>
        <w:t xml:space="preserve"> </w:t>
      </w:r>
      <w:r>
        <w:t xml:space="preserve">Landfill disposal: 0.2 kg CO2e/kg. Recycling benefits (avoided burden for virgin material): Aluminum: -5 kg CO2e/kg, Plastics (ABS): -1.5 kg CO2e/kg, Copper: -3 kg CO2e/kg, Cardboard: -0.5 kg CO2e/kg.</w:t>
      </w:r>
    </w:p>
    <w:p>
      <w:r>
        <w:pict>
          <v:rect style="width:0;height:1.5pt" o:hralign="center" o:hrstd="t" o:hr="t"/>
        </w:pict>
      </w:r>
    </w:p>
    <w:bookmarkEnd w:id="29"/>
    <w:bookmarkEnd w:id="30"/>
    <w:bookmarkStart w:id="38" w:name="emissions-calculation"/>
    <w:p>
      <w:pPr>
        <w:pStyle w:val="Heading2"/>
      </w:pPr>
      <w:r>
        <w:t xml:space="preserve">4. Emissions Calculation</w:t>
      </w:r>
    </w:p>
    <w:p>
      <w:pPr>
        <w:pStyle w:val="FirstParagraph"/>
      </w:pPr>
      <w:r>
        <w:t xml:space="preserve">Emissions were calculated by multiplying activity data by relevant emission factors. Categorization into Scope 1, 2, and 3 was performed as per GHG Protocol standards.</w:t>
      </w:r>
    </w:p>
    <w:bookmarkStart w:id="31" w:name="X3fcd2abc18fd408441791037cbe90fe386bb1cc"/>
    <w:p>
      <w:pPr>
        <w:pStyle w:val="Heading3"/>
      </w:pPr>
      <w:r>
        <w:t xml:space="preserve">4.1. Calculation Assumptions and Generic Emission Factors Used</w:t>
      </w:r>
    </w:p>
    <w:p>
      <w:pPr>
        <w:numPr>
          <w:ilvl w:val="0"/>
          <w:numId w:val="1007"/>
        </w:numPr>
        <w:pStyle w:val="Compact"/>
      </w:pPr>
      <w:r>
        <w:rPr>
          <w:bCs/>
          <w:b/>
        </w:rPr>
        <w:t xml:space="preserve">China Grid Electricity:</w:t>
      </w:r>
      <w:r>
        <w:t xml:space="preserve"> </w:t>
      </w:r>
      <w:r>
        <w:t xml:space="preserve">0.6 kg CO2e/kWh</w:t>
      </w:r>
    </w:p>
    <w:p>
      <w:pPr>
        <w:numPr>
          <w:ilvl w:val="0"/>
          <w:numId w:val="1007"/>
        </w:numPr>
        <w:pStyle w:val="Compact"/>
      </w:pPr>
      <w:r>
        <w:rPr>
          <w:bCs/>
          <w:b/>
        </w:rPr>
        <w:t xml:space="preserve">Renewable Electricity (in China):</w:t>
      </w:r>
      <w:r>
        <w:t xml:space="preserve"> </w:t>
      </w:r>
      <w:r>
        <w:t xml:space="preserve">0.02 kg CO2e/kWh</w:t>
      </w:r>
    </w:p>
    <w:p>
      <w:pPr>
        <w:numPr>
          <w:ilvl w:val="0"/>
          <w:numId w:val="1007"/>
        </w:numPr>
        <w:pStyle w:val="Compact"/>
      </w:pPr>
      <w:r>
        <w:rPr>
          <w:bCs/>
          <w:b/>
        </w:rPr>
        <w:t xml:space="preserve">Road Transport (Average):</w:t>
      </w:r>
      <w:r>
        <w:t xml:space="preserve"> </w:t>
      </w:r>
      <w:r>
        <w:t xml:space="preserve">0.09 kg CO2e/tkm</w:t>
      </w:r>
    </w:p>
    <w:p>
      <w:pPr>
        <w:numPr>
          <w:ilvl w:val="0"/>
          <w:numId w:val="1007"/>
        </w:numPr>
        <w:pStyle w:val="Compact"/>
      </w:pPr>
      <w:r>
        <w:rPr>
          <w:bCs/>
          <w:b/>
        </w:rPr>
        <w:t xml:space="preserve">Last-Mile Delivery (Van):</w:t>
      </w:r>
      <w:r>
        <w:t xml:space="preserve"> </w:t>
      </w:r>
      <w:r>
        <w:t xml:space="preserve">0.3 kg CO2e/unit-delivery (assumed package weight and distance)</w:t>
      </w:r>
    </w:p>
    <w:p>
      <w:pPr>
        <w:numPr>
          <w:ilvl w:val="0"/>
          <w:numId w:val="1007"/>
        </w:numPr>
        <w:pStyle w:val="Compact"/>
      </w:pPr>
      <w:r>
        <w:rPr>
          <w:bCs/>
          <w:b/>
        </w:rPr>
        <w:t xml:space="preserve">Global Grid Average (for Use Phase):</w:t>
      </w:r>
      <w:r>
        <w:t xml:space="preserve"> </w:t>
      </w:r>
      <w:r>
        <w:t xml:space="preserve">0.45 kg CO2e/kWh</w:t>
      </w:r>
    </w:p>
    <w:p>
      <w:pPr>
        <w:numPr>
          <w:ilvl w:val="0"/>
          <w:numId w:val="1007"/>
        </w:numPr>
        <w:pStyle w:val="Compact"/>
      </w:pPr>
      <w:r>
        <w:rPr>
          <w:bCs/>
          <w:b/>
        </w:rPr>
        <w:t xml:space="preserve">Waste to Landfill:</w:t>
      </w:r>
      <w:r>
        <w:t xml:space="preserve"> </w:t>
      </w:r>
      <w:r>
        <w:t xml:space="preserve">0.2 kg CO2e/kg</w:t>
      </w:r>
    </w:p>
    <w:p>
      <w:pPr>
        <w:numPr>
          <w:ilvl w:val="0"/>
          <w:numId w:val="1007"/>
        </w:numPr>
        <w:pStyle w:val="Compact"/>
      </w:pPr>
      <w:r>
        <w:rPr>
          <w:bCs/>
          <w:b/>
        </w:rPr>
        <w:t xml:space="preserve">Recycling Avoided Burden (illustrative, per kg):</w:t>
      </w:r>
      <w:r>
        <w:t xml:space="preserve"> </w:t>
      </w:r>
      <w:r>
        <w:t xml:space="preserve">Aluminum: -5 kg CO2e, ABS: -1.5 kg CO2e, Copper: -3 kg CO2e, Cardboard: -0.5 kg CO2e</w:t>
      </w:r>
    </w:p>
    <w:p>
      <w:pPr>
        <w:numPr>
          <w:ilvl w:val="0"/>
          <w:numId w:val="1007"/>
        </w:numPr>
        <w:pStyle w:val="Compact"/>
      </w:pPr>
      <w:r>
        <w:rPr>
          <w:bCs/>
          <w:b/>
        </w:rPr>
        <w:t xml:space="preserve">Product Weight (total for EoL calculation):</w:t>
      </w:r>
      <w:r>
        <w:t xml:space="preserve"> </w:t>
      </w:r>
      <w:r>
        <w:t xml:space="preserve">Sum of BOM material quantities = 0.5 + 0.3 + 1.0 (PCB is unit, assume 0.1 kg) + 0.1 + 0.2 = 1.2 kg (excluding PCB, if PCB is 0.1kg then ~1.3kg). For simplicity, let\'s use the sum of material weights as 1.1kg + 0.1kg (PCB) = 1.2 kg for EoL calculations.</w:t>
      </w:r>
    </w:p>
    <w:bookmarkEnd w:id="31"/>
    <w:bookmarkStart w:id="35" w:name="X44e22c173b02394a4a763dd20211ef2a3c7cda3"/>
    <w:p>
      <w:pPr>
        <w:pStyle w:val="Heading3"/>
      </w:pPr>
      <w:r>
        <w:t xml:space="preserve">4.2. Emissions Breakdown by Scope and Lifecycle Stage</w:t>
      </w:r>
    </w:p>
    <w:bookmarkStart w:id="32" w:name="Xb5aaed5db8d71eaec7ac491c4b7c15874c60c0f"/>
    <w:p>
      <w:pPr>
        <w:pStyle w:val="Heading4"/>
      </w:pPr>
      <w:r>
        <w:t xml:space="preserve">Scope 1: Direct Emissions (Not applicable at \'factory_gate\' for product PCF beyond operational scope, assumed zero for this specific product\'s boundary definition as no direct combustion for product creation).</w:t>
      </w:r>
    </w:p>
    <w:p>
      <w:pPr>
        <w:pStyle w:val="FirstParagraph"/>
      </w:pPr>
      <w:r>
        <w:t xml:space="preserve">0.00 kg CO2e</w:t>
      </w:r>
    </w:p>
    <w:bookmarkEnd w:id="32"/>
    <w:bookmarkStart w:id="33" w:name="X158095f9350ac49aa5904e2590d8a9baedd908f"/>
    <w:p>
      <w:pPr>
        <w:pStyle w:val="Heading4"/>
      </w:pPr>
      <w:r>
        <w:t xml:space="preserve">Scope 2: Purchased Energy Emissions (Production Phase)</w:t>
      </w:r>
    </w:p>
    <w:p>
      <w:pPr>
        <w:numPr>
          <w:ilvl w:val="0"/>
          <w:numId w:val="1008"/>
        </w:numPr>
        <w:pStyle w:val="Compact"/>
      </w:pPr>
      <w:r>
        <w:t xml:space="preserve">Total Energy Intensity: 5 kWh/unit</w:t>
      </w:r>
    </w:p>
    <w:p>
      <w:pPr>
        <w:numPr>
          <w:ilvl w:val="0"/>
          <w:numId w:val="1008"/>
        </w:numPr>
        <w:pStyle w:val="Compact"/>
      </w:pPr>
      <w:r>
        <w:t xml:space="preserve">Renewable Usage: 30%</w:t>
      </w:r>
    </w:p>
    <w:p>
      <w:pPr>
        <w:numPr>
          <w:ilvl w:val="0"/>
          <w:numId w:val="1008"/>
        </w:numPr>
        <w:pStyle w:val="Compact"/>
      </w:pPr>
      <w:r>
        <w:t xml:space="preserve">Non-Renewable Energy: 5 kWh * (1 - 0.30) = 3.5 kWh</w:t>
      </w:r>
    </w:p>
    <w:p>
      <w:pPr>
        <w:numPr>
          <w:ilvl w:val="0"/>
          <w:numId w:val="1008"/>
        </w:numPr>
        <w:pStyle w:val="Compact"/>
      </w:pPr>
      <w:r>
        <w:t xml:space="preserve">Renewable Energy Portion: 5 kWh * 0.30 = 1.5 kWh</w:t>
      </w:r>
    </w:p>
    <w:p>
      <w:pPr>
        <w:numPr>
          <w:ilvl w:val="0"/>
          <w:numId w:val="1008"/>
        </w:numPr>
        <w:pStyle w:val="Compact"/>
      </w:pPr>
      <w:r>
        <w:t xml:space="preserve">Emissions from Non-Renewable: 3.5 kWh * 0.6 kg CO2e/kWh = 2.10 kg CO2e</w:t>
      </w:r>
    </w:p>
    <w:p>
      <w:pPr>
        <w:numPr>
          <w:ilvl w:val="0"/>
          <w:numId w:val="1008"/>
        </w:numPr>
        <w:pStyle w:val="Compact"/>
      </w:pPr>
      <w:r>
        <w:t xml:space="preserve">Emissions from Renewable Portion: 1.5 kWh * 0.02 kg CO2e/kWh = 0.03 kg CO2e</w:t>
      </w:r>
    </w:p>
    <w:p>
      <w:pPr>
        <w:pStyle w:val="FirstParagraph"/>
      </w:pPr>
      <w:r>
        <w:rPr>
          <w:bCs/>
          <w:b/>
        </w:rPr>
        <w:t xml:space="preserve">Total Scope 2 Emissions:</w:t>
      </w:r>
      <w:r>
        <w:t xml:space="preserve"> </w:t>
      </w:r>
      <w:r>
        <w:t xml:space="preserve">2.13 kg CO2e</w:t>
      </w:r>
    </w:p>
    <w:bookmarkEnd w:id="33"/>
    <w:bookmarkStart w:id="34" w:name="X587318600d1abb6b2ca9944db25f8225e73de31"/>
    <w:p>
      <w:pPr>
        <w:pStyle w:val="Heading4"/>
      </w:pPr>
      <w:r>
        <w:t xml:space="preserve">Scope 3: Value Chain Emissions (Upstream &amp; Downstream)</w:t>
      </w:r>
    </w:p>
    <w:p>
      <w:pPr>
        <w:pStyle w:val="FirstParagraph"/>
      </w:pPr>
      <w:r>
        <w:rPr>
          <w:bCs/>
          <w:b/>
        </w:rPr>
        <w:t xml:space="preserve">Category 1: Purchased Goods and Services (Materials)</w:t>
      </w:r>
    </w:p>
    <w:p>
      <w:pPr>
        <w:numPr>
          <w:ilvl w:val="0"/>
          <w:numId w:val="1009"/>
        </w:numPr>
        <w:pStyle w:val="Compact"/>
      </w:pPr>
      <w:r>
        <w:t xml:space="preserve">Total Material Emissions (from BOM): 5.10 kg CO2e</w:t>
      </w:r>
    </w:p>
    <w:p>
      <w:pPr>
        <w:pStyle w:val="FirstParagraph"/>
      </w:pPr>
      <w:r>
        <w:rPr>
          <w:bCs/>
          <w:b/>
        </w:rPr>
        <w:t xml:space="preserve">Category 4: Transportation and Distribution (Upstream)</w:t>
      </w:r>
    </w:p>
    <w:p>
      <w:pPr>
        <w:numPr>
          <w:ilvl w:val="0"/>
          <w:numId w:val="1010"/>
        </w:numPr>
        <w:pStyle w:val="Compact"/>
      </w:pPr>
      <w:r>
        <w:t xml:space="preserve">Product weight for transport: ~1.2 kg</w:t>
      </w:r>
    </w:p>
    <w:p>
      <w:pPr>
        <w:numPr>
          <w:ilvl w:val="0"/>
          <w:numId w:val="1010"/>
        </w:numPr>
        <w:pStyle w:val="Compact"/>
      </w:pPr>
      <w:r>
        <w:t xml:space="preserve">Assumed Transport Distance: 1,500 km</w:t>
      </w:r>
    </w:p>
    <w:p>
      <w:pPr>
        <w:numPr>
          <w:ilvl w:val="0"/>
          <w:numId w:val="1010"/>
        </w:numPr>
        <w:pStyle w:val="Compact"/>
      </w:pPr>
      <w:r>
        <w:t xml:space="preserve">Emissions: (1.2 kg / 1000 kg/tonne) * 1500 km * 0.09 kg CO2e/tkm = 0.108 kg CO2e</w:t>
      </w:r>
    </w:p>
    <w:p>
      <w:pPr>
        <w:pStyle w:val="FirstParagraph"/>
      </w:pPr>
      <w:r>
        <w:rPr>
          <w:bCs/>
          <w:b/>
        </w:rPr>
        <w:t xml:space="preserve">Category 9: Downstream Transportation and Distribution (Last-Mile)</w:t>
      </w:r>
    </w:p>
    <w:p>
      <w:pPr>
        <w:numPr>
          <w:ilvl w:val="0"/>
          <w:numId w:val="1011"/>
        </w:numPr>
        <w:pStyle w:val="Compact"/>
      </w:pPr>
      <w:r>
        <w:t xml:space="preserve">Last-Mile Delivery Emissions (per unit): 0.3 kg CO2e</w:t>
      </w:r>
    </w:p>
    <w:p>
      <w:pPr>
        <w:pStyle w:val="FirstParagraph"/>
      </w:pPr>
      <w:r>
        <w:rPr>
          <w:bCs/>
          <w:b/>
        </w:rPr>
        <w:t xml:space="preserve">Category 11: Use of Sold Products</w:t>
      </w:r>
    </w:p>
    <w:p>
      <w:pPr>
        <w:numPr>
          <w:ilvl w:val="0"/>
          <w:numId w:val="1012"/>
        </w:numPr>
        <w:pStyle w:val="Compact"/>
      </w:pPr>
      <w:r>
        <w:t xml:space="preserve">Product Lifespan: 3 years</w:t>
      </w:r>
    </w:p>
    <w:p>
      <w:pPr>
        <w:numPr>
          <w:ilvl w:val="0"/>
          <w:numId w:val="1012"/>
        </w:numPr>
        <w:pStyle w:val="Compact"/>
      </w:pPr>
      <w:r>
        <w:t xml:space="preserve">Energy Consumption: 10 kWh/year</w:t>
      </w:r>
    </w:p>
    <w:p>
      <w:pPr>
        <w:numPr>
          <w:ilvl w:val="0"/>
          <w:numId w:val="1012"/>
        </w:numPr>
        <w:pStyle w:val="Compact"/>
      </w:pPr>
      <w:r>
        <w:t xml:space="preserve">Total Use Phase Energy: 3 years * 10 kWh/year = 30 kWh</w:t>
      </w:r>
    </w:p>
    <w:p>
      <w:pPr>
        <w:numPr>
          <w:ilvl w:val="0"/>
          <w:numId w:val="1012"/>
        </w:numPr>
        <w:pStyle w:val="Compact"/>
      </w:pPr>
      <w:r>
        <w:t xml:space="preserve">Emissions: 30 kWh * 0.45 kg CO2e/kWh = 13.50 kg CO2e</w:t>
      </w:r>
    </w:p>
    <w:p>
      <w:pPr>
        <w:pStyle w:val="FirstParagraph"/>
      </w:pPr>
      <w:r>
        <w:rPr>
          <w:bCs/>
          <w:b/>
        </w:rPr>
        <w:t xml:space="preserve">Category 12: End-of-Life Treatment of Sold Products</w:t>
      </w:r>
    </w:p>
    <w:p>
      <w:pPr>
        <w:numPr>
          <w:ilvl w:val="0"/>
          <w:numId w:val="1013"/>
        </w:numPr>
        <w:pStyle w:val="Compact"/>
      </w:pPr>
      <w:r>
        <w:t xml:space="preserve">Total Product Weight for EoL: 1.2 kg</w:t>
      </w:r>
    </w:p>
    <w:p>
      <w:pPr>
        <w:numPr>
          <w:ilvl w:val="0"/>
          <w:numId w:val="1013"/>
        </w:numPr>
        <w:pStyle w:val="Compact"/>
      </w:pPr>
      <w:r>
        <w:t xml:space="preserve">Recyclability: 70%</w:t>
      </w:r>
    </w:p>
    <w:p>
      <w:pPr>
        <w:numPr>
          <w:ilvl w:val="0"/>
          <w:numId w:val="1013"/>
        </w:numPr>
        <w:pStyle w:val="Compact"/>
      </w:pPr>
      <w:r>
        <w:t xml:space="preserve">Portion Landfilled: 1.2 kg * (1 - 0.70) = 0.36 kg</w:t>
      </w:r>
    </w:p>
    <w:p>
      <w:pPr>
        <w:numPr>
          <w:ilvl w:val="0"/>
          <w:numId w:val="1013"/>
        </w:numPr>
        <w:pStyle w:val="Compact"/>
      </w:pPr>
      <w:r>
        <w:t xml:space="preserve">Landfill Emissions: 0.36 kg * 0.2 kg CO2e/kg = 0.072 kg CO2e</w:t>
      </w:r>
    </w:p>
    <w:p>
      <w:pPr>
        <w:numPr>
          <w:ilvl w:val="0"/>
          <w:numId w:val="1013"/>
        </w:numPr>
        <w:pStyle w:val="Compact"/>
      </w:pPr>
      <w:r>
        <w:t xml:space="preserve">Portion Recycled: 1.2 kg * 0.70 = 0.84 kg</w:t>
      </w:r>
    </w:p>
    <w:p>
      <w:pPr>
        <w:numPr>
          <w:ilvl w:val="0"/>
          <w:numId w:val="1013"/>
        </w:numPr>
        <w:pStyle w:val="Compact"/>
      </w:pPr>
      <w:r>
        <w:t xml:space="preserve">Estimated Recycling Benefits (Simplified for overall product, more detailed breakdown possible):</w:t>
      </w:r>
    </w:p>
    <w:p>
      <w:pPr>
        <w:numPr>
          <w:ilvl w:val="1"/>
          <w:numId w:val="1014"/>
        </w:numPr>
        <w:pStyle w:val="Compact"/>
      </w:pPr>
      <w:r>
        <w:t xml:space="preserve">Aluminum (0.5 kg): -5 * 0.5 * 0.70 = -1.75 kg CO2e (70% recycled)</w:t>
      </w:r>
    </w:p>
    <w:p>
      <w:pPr>
        <w:numPr>
          <w:ilvl w:val="1"/>
          <w:numId w:val="1014"/>
        </w:numPr>
        <w:pStyle w:val="Compact"/>
      </w:pPr>
      <w:r>
        <w:t xml:space="preserve">Plastic (0.3 kg): -1.5 * 0.3 * 0.70 = -0.315 kg CO2e</w:t>
      </w:r>
    </w:p>
    <w:p>
      <w:pPr>
        <w:numPr>
          <w:ilvl w:val="1"/>
          <w:numId w:val="1014"/>
        </w:numPr>
        <w:pStyle w:val="Compact"/>
      </w:pPr>
      <w:r>
        <w:t xml:space="preserve">Copper (0.1 kg): -3 * 0.1 * 0.70 = -0.21 kg CO2e</w:t>
      </w:r>
    </w:p>
    <w:p>
      <w:pPr>
        <w:numPr>
          <w:ilvl w:val="1"/>
          <w:numId w:val="1014"/>
        </w:numPr>
        <w:pStyle w:val="Compact"/>
      </w:pPr>
      <w:r>
        <w:t xml:space="preserve">Cardboard (0.2 kg): -0.5 * 0.2 * 0.70 = -0.07 kg CO2e</w:t>
      </w:r>
    </w:p>
    <w:p>
      <w:pPr>
        <w:numPr>
          <w:ilvl w:val="1"/>
          <w:numId w:val="1014"/>
        </w:numPr>
        <w:pStyle w:val="Compact"/>
      </w:pPr>
      <w:r>
        <w:t xml:space="preserve">Total Recycling Benefits: -2.345 kg CO2e</w:t>
      </w:r>
    </w:p>
    <w:p>
      <w:pPr>
        <w:pStyle w:val="FirstParagraph"/>
      </w:pPr>
      <w:r>
        <w:rPr>
          <w:bCs/>
          <w:b/>
        </w:rPr>
        <w:t xml:space="preserve">Total End-of-Life Emissions/Benefits:</w:t>
      </w:r>
      <w:r>
        <w:t xml:space="preserve"> </w:t>
      </w:r>
      <w:r>
        <w:t xml:space="preserve">0.072 kg CO2e (landfill) - 2.345 kg CO2e (recycling benefits) = -2.273 kg CO2e</w:t>
      </w:r>
    </w:p>
    <w:p>
      <w:r>
        <w:pict>
          <v:rect style="width:0;height:1.5pt" o:hralign="center" o:hrstd="t" o:hr="t"/>
        </w:pict>
      </w:r>
    </w:p>
    <w:bookmarkEnd w:id="34"/>
    <w:bookmarkEnd w:id="35"/>
    <w:bookmarkStart w:id="36" w:name="Xbc002c9868fb435b4a1d3740b17da56040fd3c7"/>
    <w:p>
      <w:pPr>
        <w:pStyle w:val="Heading3"/>
      </w:pPr>
      <w:r>
        <w:t xml:space="preserve">4.3. Summary of Product Carbon Footprint (PCF) for qjhlztzpyr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Emissions (kg CO2e)</w:t>
            </w:r>
          </w:p>
        </w:tc>
        <w:tc>
          <w:tcPr/>
          <w:p>
            <w:pPr>
              <w:pStyle w:val="Compact"/>
              <w:jc w:val="left"/>
            </w:pPr>
            <w:r>
              <w:t xml:space="preserve">Category</w:t>
            </w:r>
          </w:p>
        </w:tc>
      </w:tr>
      <w:tr>
        <w:tc>
          <w:tcPr/>
          <w:p>
            <w:pPr>
              <w:pStyle w:val="Compact"/>
              <w:jc w:val="left"/>
            </w:pPr>
            <w:r>
              <w:t xml:space="preserve">Raw Materials (from BOM)</w:t>
            </w:r>
          </w:p>
        </w:tc>
        <w:tc>
          <w:tcPr/>
          <w:p>
            <w:pPr>
              <w:pStyle w:val="Compact"/>
              <w:jc w:val="left"/>
            </w:pPr>
            <w:r>
              <w:t xml:space="preserve">5.10</w:t>
            </w:r>
          </w:p>
        </w:tc>
        <w:tc>
          <w:tcPr/>
          <w:p>
            <w:pPr>
              <w:pStyle w:val="Compact"/>
              <w:jc w:val="left"/>
            </w:pPr>
            <w:r>
              <w:t xml:space="preserve">Scope 3 (Category 1)</w:t>
            </w:r>
          </w:p>
        </w:tc>
      </w:tr>
      <w:tr>
        <w:tc>
          <w:tcPr/>
          <w:p>
            <w:pPr>
              <w:pStyle w:val="Compact"/>
              <w:jc w:val="left"/>
            </w:pPr>
            <w:r>
              <w:t xml:space="preserve">Upstream Transport</w:t>
            </w:r>
          </w:p>
        </w:tc>
        <w:tc>
          <w:tcPr/>
          <w:p>
            <w:pPr>
              <w:pStyle w:val="Compact"/>
              <w:jc w:val="left"/>
            </w:pPr>
            <w:r>
              <w:t xml:space="preserve">0.11</w:t>
            </w:r>
          </w:p>
        </w:tc>
        <w:tc>
          <w:tcPr/>
          <w:p>
            <w:pPr>
              <w:pStyle w:val="Compact"/>
              <w:jc w:val="left"/>
            </w:pPr>
            <w:r>
              <w:t xml:space="preserve">Scope 3 (Category 4)</w:t>
            </w:r>
          </w:p>
        </w:tc>
      </w:tr>
      <w:tr>
        <w:tc>
          <w:tcPr/>
          <w:p>
            <w:pPr>
              <w:pStyle w:val="Compact"/>
              <w:jc w:val="left"/>
            </w:pPr>
            <w:r>
              <w:t xml:space="preserve">Production (Energy)</w:t>
            </w:r>
          </w:p>
        </w:tc>
        <w:tc>
          <w:tcPr/>
          <w:p>
            <w:pPr>
              <w:pStyle w:val="Compact"/>
              <w:jc w:val="left"/>
            </w:pPr>
            <w:r>
              <w:t xml:space="preserve">2.13</w:t>
            </w:r>
          </w:p>
        </w:tc>
        <w:tc>
          <w:tcPr/>
          <w:p>
            <w:pPr>
              <w:pStyle w:val="Compact"/>
              <w:jc w:val="left"/>
            </w:pPr>
            <w:r>
              <w:t xml:space="preserve">Scope 2</w:t>
            </w:r>
          </w:p>
        </w:tc>
      </w:tr>
      <w:tr>
        <w:tc>
          <w:tcPr/>
          <w:p>
            <w:pPr>
              <w:pStyle w:val="Compact"/>
              <w:jc w:val="left"/>
            </w:pPr>
            <w:r>
              <w:t xml:space="preserve">Downstream Transport (Last-Mile)</w:t>
            </w:r>
          </w:p>
        </w:tc>
        <w:tc>
          <w:tcPr/>
          <w:p>
            <w:pPr>
              <w:pStyle w:val="Compact"/>
              <w:jc w:val="left"/>
            </w:pPr>
            <w:r>
              <w:t xml:space="preserve">0.30</w:t>
            </w:r>
          </w:p>
        </w:tc>
        <w:tc>
          <w:tcPr/>
          <w:p>
            <w:pPr>
              <w:pStyle w:val="Compact"/>
              <w:jc w:val="left"/>
            </w:pPr>
            <w:r>
              <w:t xml:space="preserve">Scope 3 (Category 9)</w:t>
            </w:r>
          </w:p>
        </w:tc>
      </w:tr>
      <w:tr>
        <w:tc>
          <w:tcPr/>
          <w:p>
            <w:pPr>
              <w:pStyle w:val="Compact"/>
              <w:jc w:val="left"/>
            </w:pPr>
            <w:r>
              <w:t xml:space="preserve">Use Phase</w:t>
            </w:r>
          </w:p>
        </w:tc>
        <w:tc>
          <w:tcPr/>
          <w:p>
            <w:pPr>
              <w:pStyle w:val="Compact"/>
              <w:jc w:val="left"/>
            </w:pPr>
            <w:r>
              <w:t xml:space="preserve">13.50</w:t>
            </w:r>
          </w:p>
        </w:tc>
        <w:tc>
          <w:tcPr/>
          <w:p>
            <w:pPr>
              <w:pStyle w:val="Compact"/>
              <w:jc w:val="left"/>
            </w:pPr>
            <w:r>
              <w:t xml:space="preserve">Scope 3 (Category 11)</w:t>
            </w:r>
          </w:p>
        </w:tc>
      </w:tr>
      <w:tr>
        <w:tc>
          <w:tcPr/>
          <w:p>
            <w:pPr>
              <w:pStyle w:val="Compact"/>
              <w:jc w:val="left"/>
            </w:pPr>
            <w:r>
              <w:t xml:space="preserve">End-of-Life (Net)</w:t>
            </w:r>
          </w:p>
        </w:tc>
        <w:tc>
          <w:tcPr/>
          <w:p>
            <w:pPr>
              <w:pStyle w:val="Compact"/>
              <w:jc w:val="left"/>
            </w:pPr>
            <w:r>
              <w:t xml:space="preserve">-2.27</w:t>
            </w:r>
          </w:p>
        </w:tc>
        <w:tc>
          <w:tcPr/>
          <w:p>
            <w:pPr>
              <w:pStyle w:val="Compact"/>
              <w:jc w:val="left"/>
            </w:pPr>
            <w:r>
              <w:t xml:space="preserve">Scope 3 (Category 12)</w:t>
            </w:r>
          </w:p>
        </w:tc>
      </w:tr>
      <w:tr>
        <w:tc>
          <w:tcPr/>
          <w:p>
            <w:pPr>
              <w:pStyle w:val="Compact"/>
              <w:jc w:val="left"/>
            </w:pPr>
            <w:r>
              <w:t xml:space="preserve">TOTAL PRODUCT CARBON FOOTPRINT</w:t>
            </w:r>
          </w:p>
        </w:tc>
        <w:tc>
          <w:tcPr/>
          <w:p>
            <w:pPr>
              <w:pStyle w:val="Compact"/>
              <w:jc w:val="left"/>
            </w:pPr>
            <w:r>
              <w:t xml:space="preserve">18.87</w:t>
            </w:r>
          </w:p>
        </w:tc>
        <w:tc>
          <w:tcPr/>
          <w:p>
            <w:pPr>
              <w:pStyle w:val="Compact"/>
            </w:pPr>
          </w:p>
        </w:tc>
      </w:tr>
    </w:tbl>
    <w:p>
      <w:pPr>
        <w:pStyle w:val="BodyText"/>
      </w:pPr>
      <w:r>
        <w:t xml:space="preserve">Note: The calculation for the "TOTAL PRODUCT CARBON FOOTPRINT" is the sum of all individual stage emissions. The net EoL figure is included.</w:t>
      </w:r>
      <w:r>
        <w:t xml:space="preserve"> </w:t>
      </w:r>
      <w:r>
        <w:t xml:space="preserve">Total = 5.10 + 0.11 + 2.13 + 0.30 + 13.50 + (-2.27) =</w:t>
      </w:r>
      <w:r>
        <w:t xml:space="preserve"> </w:t>
      </w:r>
      <w:r>
        <w:t xml:space="preserve">18.87 kg CO2e</w:t>
      </w:r>
      <w:r>
        <w:t xml:space="preserve">.</w:t>
      </w:r>
    </w:p>
    <w:bookmarkEnd w:id="36"/>
    <w:bookmarkStart w:id="37" w:name="lsr-update-considerations"/>
    <w:p>
      <w:pPr>
        <w:pStyle w:val="Heading3"/>
      </w:pPr>
      <w:r>
        <w:t xml:space="preserve">4.4. 2026 LSR Update Considerations</w:t>
      </w:r>
    </w:p>
    <w:p>
      <w:pPr>
        <w:pStyle w:val="FirstParagraph"/>
      </w:pPr>
      <w:r>
        <w:t xml:space="preserve">While specific land use data for each material was not provided, the LSR Standard\'s principles of accounting for land-based emissions and removals have been considered conceptually. For instance, if any raw materials (e.g., specific bio-based plastics or wood from sustainably managed forests) had associated carbon sequestration or land-use change emissions, these would be quantified and categorized within Scope 3, potentially showing up as removals (negative emissions) if certified. For the current data, all \'Total Carbon\' values from the BOM are assumed to be net emissions over their lifecycle up to the factory gate. The "Packaging (Cardboard)" may inherently carry some LSR considerations if its sourcing impacts land use. Future iterations with more specific material sourcing data would allow for direct application of LSR principles.</w:t>
      </w:r>
    </w:p>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reveals the following key emission hotspots for</w:t>
      </w:r>
      <w:r>
        <w:t xml:space="preserve"> </w:t>
      </w:r>
      <w:r>
        <w:t xml:space="preserve">qjhlztzpyr</w:t>
      </w:r>
      <w:r>
        <w:t xml:space="preserve">:</w:t>
      </w:r>
    </w:p>
    <w:p>
      <w:pPr>
        <w:numPr>
          <w:ilvl w:val="0"/>
          <w:numId w:val="1015"/>
        </w:numPr>
        <w:pStyle w:val="Compact"/>
      </w:pPr>
      <w:r>
        <w:rPr>
          <w:bCs/>
          <w:b/>
        </w:rPr>
        <w:t xml:space="preserve">Use Phase (13.50 kg CO2e):</w:t>
      </w:r>
      <w:r>
        <w:t xml:space="preserve"> </w:t>
      </w:r>
      <w:r>
        <w:t xml:space="preserve">This is the dominant contributor, primarily due to the assumed energy consumption over the product\'s lifespan. Efforts to improve energy efficiency during product operation would yield the most significant reductions.</w:t>
      </w:r>
    </w:p>
    <w:p>
      <w:pPr>
        <w:numPr>
          <w:ilvl w:val="0"/>
          <w:numId w:val="1015"/>
        </w:numPr>
        <w:pStyle w:val="Compact"/>
      </w:pPr>
      <w:r>
        <w:rPr>
          <w:bCs/>
          <w:b/>
        </w:rPr>
        <w:t xml:space="preserve">Raw Materials (5.10 kg CO2e):</w:t>
      </w:r>
      <w:r>
        <w:t xml:space="preserve"> </w:t>
      </w:r>
      <w:r>
        <w:t xml:space="preserve">The Aluminum Casing is a major contributor here, indicating that material selection and the use of recycled content are critical areas for intervention.</w:t>
      </w:r>
    </w:p>
    <w:p>
      <w:pPr>
        <w:numPr>
          <w:ilvl w:val="0"/>
          <w:numId w:val="1015"/>
        </w:numPr>
        <w:pStyle w:val="Compact"/>
      </w:pPr>
      <w:r>
        <w:rPr>
          <w:bCs/>
          <w:b/>
        </w:rPr>
        <w:t xml:space="preserve">Production Energy (2.13 kg CO2e):</w:t>
      </w:r>
      <w:r>
        <w:t xml:space="preserve"> </w:t>
      </w:r>
      <w:r>
        <w:t xml:space="preserve">While the assumed 30% renewable energy usage helps, increasing the share of renewable energy in manufacturing facilities can further reduce this footprint.</w:t>
      </w:r>
    </w:p>
    <w:bookmarkEnd w:id="39"/>
    <w:bookmarkStart w:id="40" w:name="reliability-and-limitations"/>
    <w:p>
      <w:pPr>
        <w:pStyle w:val="Heading3"/>
      </w:pPr>
      <w:r>
        <w:t xml:space="preserve">5.2. Reliability and Limitations</w:t>
      </w:r>
    </w:p>
    <w:p>
      <w:pPr>
        <w:pStyle w:val="FirstParagraph"/>
      </w:pPr>
      <w:r>
        <w:t xml:space="preserve">The reliability of this PCF analysis is contingent on the accuracy of the provided primary data and the representativeness of the generic emission factors used for assumptions. Specific limitations include:</w:t>
      </w:r>
    </w:p>
    <w:p>
      <w:pPr>
        <w:numPr>
          <w:ilvl w:val="0"/>
          <w:numId w:val="1016"/>
        </w:numPr>
        <w:pStyle w:val="Compact"/>
      </w:pPr>
      <w:r>
        <w:rPr>
          <w:bCs/>
          <w:b/>
        </w:rPr>
        <w:t xml:space="preserve">Placeholder Data:</w:t>
      </w:r>
      <w:r>
        <w:t xml:space="preserve"> </w:t>
      </w:r>
      <w:r>
        <w:t xml:space="preserve">Several parameters (e.g., \'Select Mode\', \'svmfllpvnk\', \'xqxehfvrdq\', \'vtjujlguyd\', \'spyrmlnxog\', \'qnegrijedl\', \'gsupfsxzud\', \'srdpsjgfks\') were provided as placeholders. Generic, reasonable assumptions were made for these, which may not perfectly reflect real-world conditions.</w:t>
      </w:r>
    </w:p>
    <w:p>
      <w:pPr>
        <w:numPr>
          <w:ilvl w:val="0"/>
          <w:numId w:val="1016"/>
        </w:numPr>
        <w:pStyle w:val="Compact"/>
      </w:pPr>
      <w:r>
        <w:rPr>
          <w:bCs/>
          <w:b/>
        </w:rPr>
        <w:t xml:space="preserve">Emission Factor Specificity:</w:t>
      </w:r>
      <w:r>
        <w:t xml:space="preserve"> </w:t>
      </w:r>
      <w:r>
        <w:t xml:space="preserve">While industry-standard emission factors were used, product-specific or supplier-specific emission factors would enhance accuracy.</w:t>
      </w:r>
    </w:p>
    <w:p>
      <w:pPr>
        <w:numPr>
          <w:ilvl w:val="0"/>
          <w:numId w:val="1016"/>
        </w:numPr>
        <w:pStyle w:val="Compact"/>
      </w:pPr>
      <w:r>
        <w:rPr>
          <w:bCs/>
          <w:b/>
        </w:rPr>
        <w:t xml:space="preserve">System Boundary:</w:t>
      </w:r>
      <w:r>
        <w:t xml:space="preserve"> </w:t>
      </w:r>
      <w:r>
        <w:t xml:space="preserve">The \'factory_gate\' boundary for the core product was expanded for the use and end-of-life phases to provide a more holistic view. A pure factory_gate PCF would exclude these downstream elements.</w:t>
      </w:r>
    </w:p>
    <w:p>
      <w:pPr>
        <w:numPr>
          <w:ilvl w:val="0"/>
          <w:numId w:val="1016"/>
        </w:numPr>
        <w:pStyle w:val="Compact"/>
      </w:pPr>
      <w:r>
        <w:rPr>
          <w:bCs/>
          <w:b/>
        </w:rPr>
        <w:t xml:space="preserve">LSR Application:</w:t>
      </w:r>
      <w:r>
        <w:t xml:space="preserve"> </w:t>
      </w:r>
      <w:r>
        <w:t xml:space="preserve">Full application of the 2026 LSR Standard requires detailed land-use change data for all bio-based materials, which was not available and thus considered conceptually.</w:t>
      </w:r>
    </w:p>
    <w:bookmarkEnd w:id="40"/>
    <w:bookmarkStart w:id="42" w:name="recommendations-for-improvement"/>
    <w:p>
      <w:pPr>
        <w:pStyle w:val="Heading3"/>
      </w:pPr>
      <w:r>
        <w:t xml:space="preserve">5.3. Recommendations for Improvement</w:t>
      </w:r>
    </w:p>
    <w:p>
      <w:pPr>
        <w:numPr>
          <w:ilvl w:val="0"/>
          <w:numId w:val="1017"/>
        </w:numPr>
        <w:pStyle w:val="Compact"/>
      </w:pPr>
      <w:r>
        <w:rPr>
          <w:bCs/>
          <w:b/>
        </w:rPr>
        <w:t xml:space="preserve">Energy Efficiency in Use:</w:t>
      </w:r>
      <w:r>
        <w:t xml:space="preserve"> </w:t>
      </w:r>
      <w:r>
        <w:t xml:space="preserve">Focus on designing</w:t>
      </w:r>
      <w:r>
        <w:t xml:space="preserve"> </w:t>
      </w:r>
      <w:r>
        <w:t xml:space="preserve">qjhlztzpyr</w:t>
      </w:r>
      <w:r>
        <w:t xml:space="preserve"> </w:t>
      </w:r>
      <w:r>
        <w:t xml:space="preserve">for lower energy consumption during its operational life. This is the single largest opportunity for reduction.</w:t>
      </w:r>
    </w:p>
    <w:p>
      <w:pPr>
        <w:numPr>
          <w:ilvl w:val="0"/>
          <w:numId w:val="1017"/>
        </w:numPr>
        <w:pStyle w:val="Compact"/>
      </w:pPr>
      <w:r>
        <w:rPr>
          <w:bCs/>
          <w:b/>
        </w:rPr>
        <w:t xml:space="preserve">Material Optimization:</w:t>
      </w:r>
      <w:r>
        <w:t xml:space="preserve"> </w:t>
      </w:r>
      <w:r>
        <w:t xml:space="preserve">Explore alternative, lower-carbon materials for the aluminum casing, or significantly increase the recycled content of aluminum used.</w:t>
      </w:r>
    </w:p>
    <w:p>
      <w:pPr>
        <w:numPr>
          <w:ilvl w:val="0"/>
          <w:numId w:val="1017"/>
        </w:numPr>
        <w:pStyle w:val="Compact"/>
      </w:pPr>
      <w:r>
        <w:rPr>
          <w:bCs/>
          <w:b/>
        </w:rPr>
        <w:t xml:space="preserve">Renewable Energy Procurement:</w:t>
      </w:r>
      <w:r>
        <w:t xml:space="preserve"> </w:t>
      </w:r>
      <w:r>
        <w:t xml:space="preserve">Increase the use of certified renewable energy sources at manufacturing facilities to further reduce Scope 2 emissions.</w:t>
      </w:r>
    </w:p>
    <w:p>
      <w:pPr>
        <w:numPr>
          <w:ilvl w:val="0"/>
          <w:numId w:val="1017"/>
        </w:numPr>
        <w:pStyle w:val="Compact"/>
      </w:pPr>
      <w:r>
        <w:rPr>
          <w:bCs/>
          <w:b/>
        </w:rPr>
        <w:t xml:space="preserve">Supply Chain Engagement:</w:t>
      </w:r>
      <w:r>
        <w:t xml:space="preserve"> </w:t>
      </w:r>
      <w:r>
        <w:t xml:space="preserve">Work with suppliers to collect primary data on material production and transport, and encourage their decarbonization efforts (Scope 3, Categories 1 &amp; 4).</w:t>
      </w:r>
    </w:p>
    <w:p>
      <w:pPr>
        <w:numPr>
          <w:ilvl w:val="0"/>
          <w:numId w:val="1017"/>
        </w:numPr>
        <w:pStyle w:val="Compact"/>
      </w:pPr>
      <w:r>
        <w:rPr>
          <w:bCs/>
          <w:b/>
        </w:rPr>
        <w:t xml:space="preserve">Circular Economy Initiatives:</w:t>
      </w:r>
      <w:r>
        <w:t xml:space="preserve"> </w:t>
      </w:r>
      <w:r>
        <w:t xml:space="preserve">Enhance existing circular programs (\'srdpsjgfks\') to maximize collection and recycling rates beyond the assumed 70%, and explore design for disassembly and repair to extend product lifespan.</w:t>
      </w:r>
    </w:p>
    <w:p>
      <w:r>
        <w:pict>
          <v:rect style="width:0;height:1.5pt" o:hralign="center" o:hrstd="t" o:hr="t"/>
        </w:pict>
      </w:r>
    </w:p>
    <w:p>
      <w:pPr>
        <w:pStyle w:val="FirstParagraph"/>
      </w:pPr>
      <w:r>
        <w:t xml:space="preserve">Confidential - Internal Use Only | Page</w:t>
      </w:r>
      <w:r>
        <w:t xml:space="preserve"> </w:t>
      </w:r>
      <w:bookmarkStart w:id="41" w:name="page-numbe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qjhlztzpyr</dc:title>
  <dc:creator/>
  <dc:description>Comprehensive Product Carbon Footprint (PCF) analysis report for qjhlztzpyr, following GHG Protocol standards and 2026 LSR updates.</dc:description>
  <dc:language>en</dc:language>
  <cp:keywords/>
  <dcterms:created xsi:type="dcterms:W3CDTF">2026-07-15T03:06:41Z</dcterms:created>
  <dcterms:modified xsi:type="dcterms:W3CDTF">2026-07-15T03:06:41Z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