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qijlljqnko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qijlljqnko</w:t>
      </w:r>
    </w:p>
    <w:p>
      <w:pPr>
        <w:pStyle w:val="BodyText"/>
      </w:pPr>
      <w:r>
        <w:t xml:space="preserve">Company Name:</w:t>
      </w:r>
      <w:r>
        <w:t xml:space="preserve"> </w:t>
      </w:r>
      <w:r>
        <w:rPr>
          <w:bCs/>
          <w:b/>
        </w:rPr>
        <w:t xml:space="preserve">poxzssvhrh</w:t>
      </w:r>
    </w:p>
    <w:p>
      <w:pPr>
        <w:pStyle w:val="BodyText"/>
      </w:pPr>
      <w:r>
        <w:t xml:space="preserve">Senior Sustainability Consultant:</w:t>
      </w:r>
      <w:r>
        <w:t xml:space="preserve"> </w:t>
      </w:r>
      <w:r>
        <w:rPr>
          <w:bCs/>
          <w:b/>
        </w:rPr>
        <w:t xml:space="preserve">kfhlsovylk</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calculations rely on the interpretation of provided parameters and representative emission factors where primary data was unavailable. Future updates with more specific operational data will enhance precision, particularly for the placeholder Bill of Materials provided.</w:t>
      </w:r>
    </w:p>
    <w:bookmarkEnd w:id="20"/>
    <w:bookmarkStart w:id="21" w:name="Xa8572626ed38b9b6df359d35143d45e5a227d89"/>
    <w:p>
      <w:pPr>
        <w:pStyle w:val="Heading1"/>
      </w:pPr>
      <w:r>
        <w:t xml:space="preserve">Product Carbon Footprint (PCF) Analysis Report for qijlljqnko</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qijlljqnko, manufactured by poxzssvhrh. The assessment adheres to the Greenhouse Gas (GHG) Protocol standards, including considerations for the 2026 Land Sector and Removals (LSR) Standard update. The primary goal is to quantify the total greenhouse gas emissions (in kg CO2e) associated with the product\'s entire lifecycle, from material extraction to end-of-life, utilizing a cradle-to-gate-plus-use-and-end-of-life system boundary. The analysis identifies key emission hotspots and provides a foundational understanding for targeted decarbonization efforts.</w:t>
      </w:r>
    </w:p>
    <w:p>
      <w:pPr>
        <w:pStyle w:val="BodyText"/>
      </w:pPr>
      <w:r>
        <w:t xml:space="preserve">The total Product Carbon Footprint for one functional unit of qijlljqnko is calculated to be</w:t>
      </w:r>
      <w:r>
        <w:t xml:space="preserve"> </w:t>
      </w:r>
      <w:r>
        <w:rPr>
          <w:bCs/>
          <w:b/>
        </w:rPr>
        <w:t xml:space="preserve">13.99 kg CO2e</w:t>
      </w:r>
      <w:r>
        <w:t xml:space="preserve">.</w:t>
      </w:r>
    </w:p>
    <w:bookmarkEnd w:id="22"/>
    <w:p>
      <w:r>
        <w:pict>
          <v:rect style="width:0;height:1.5pt" o:hralign="center" o:hrstd="t" o:hr="t"/>
        </w:pict>
      </w:r>
    </w:p>
    <w:bookmarkStart w:id="25"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qijlljqnko.</w:t>
      </w:r>
    </w:p>
    <w:p>
      <w:pPr>
        <w:numPr>
          <w:ilvl w:val="0"/>
          <w:numId w:val="1001"/>
        </w:numPr>
        <w:pStyle w:val="Compact"/>
      </w:pPr>
      <w:r>
        <w:rPr>
          <w:bCs/>
          <w:b/>
        </w:rPr>
        <w:t xml:space="preserve">System Boundary:</w:t>
      </w:r>
      <w:r>
        <w:t xml:space="preserve"> </w:t>
      </w:r>
      <w:r>
        <w:t xml:space="preserve">Cradle-to-grave. This analysis covers all relevant lifecycle stages from material acquisition, manufacturing (factory_gate), transportation, the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upstream and downstream logistics, and use phase electricity grid).</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Product Life Cycle Accounting and Reporting Standard. Emissions are categorized into Scope 1 (direct), Scope 2 (purchased energy), and Scope 3 (value chain) as defined by the GHG Protocol.</w:t>
      </w:r>
    </w:p>
    <w:p>
      <w:pPr>
        <w:numPr>
          <w:ilvl w:val="0"/>
          <w:numId w:val="1001"/>
        </w:numPr>
        <w:pStyle w:val="Compact"/>
      </w:pPr>
      <w:r>
        <w:rPr>
          <w:bCs/>
          <w:b/>
        </w:rPr>
        <w:t xml:space="preserve">Allocation:</w:t>
      </w:r>
      <w:r>
        <w:t xml:space="preserve"> </w:t>
      </w:r>
      <w:r>
        <w:t xml:space="preserve">Environmental impacts are allocated to the functional unit based on mass for material inputs and direct consumption for energy and transport, where applicable. Co-product allocation is not explicitly required given the product-specific focus.</w:t>
      </w:r>
    </w:p>
    <w:bookmarkStart w:id="23" w:name="ghg-protocol-scope-definitions"/>
    <w:p>
      <w:pPr>
        <w:pStyle w:val="Heading3"/>
      </w:pPr>
      <w:r>
        <w:t xml:space="preserve">GHG Protocol Scope Definitions:</w:t>
      </w:r>
    </w:p>
    <w:p>
      <w:pPr>
        <w:numPr>
          <w:ilvl w:val="0"/>
          <w:numId w:val="1002"/>
        </w:numPr>
        <w:pStyle w:val="Compact"/>
      </w:pPr>
      <w:r>
        <w:rPr>
          <w:bCs/>
          <w:b/>
        </w:rPr>
        <w:t xml:space="preserve">Scope 1 Emissions:</w:t>
      </w:r>
      <w:r>
        <w:t xml:space="preserve"> </w:t>
      </w:r>
      <w:r>
        <w:t xml:space="preserve">Direct GHG emissions from sources owned or controlled by poxzssvhrh. For this analysis with a "factory_gate" production boundary and no specified direct combustion, Scope 1 emissions are considered negligible.</w:t>
      </w:r>
    </w:p>
    <w:p>
      <w:pPr>
        <w:numPr>
          <w:ilvl w:val="0"/>
          <w:numId w:val="1002"/>
        </w:numPr>
        <w:pStyle w:val="Compact"/>
      </w:pPr>
      <w:r>
        <w:rPr>
          <w:bCs/>
          <w:b/>
        </w:rPr>
        <w:t xml:space="preserve">Scope 2 Emissions:</w:t>
      </w:r>
      <w:r>
        <w:t xml:space="preserve"> </w:t>
      </w:r>
      <w:r>
        <w:t xml:space="preserve">Indirect GHG emissions from the generation of purchased electricity, steam, heat, or cooling consumed by poxzssvhrh during the manufacturing of qijlljqnko.</w:t>
      </w:r>
    </w:p>
    <w:p>
      <w:pPr>
        <w:numPr>
          <w:ilvl w:val="0"/>
          <w:numId w:val="1002"/>
        </w:numPr>
        <w:pStyle w:val="Compact"/>
      </w:pPr>
      <w:r>
        <w:rPr>
          <w:bCs/>
          <w:b/>
        </w:rPr>
        <w:t xml:space="preserve">Scope 3 Emissions:</w:t>
      </w:r>
      <w:r>
        <w:t xml:space="preserve"> </w:t>
      </w:r>
      <w:r>
        <w:t xml:space="preserve">All other indirect emissions in the value chain, both upstream and downstream. This includes emissions from purchased goods and services (materials), upstream and downstream transportation and distribution, the use of sold products, and end-of-life treatment of sold products, among others.</w:t>
      </w:r>
    </w:p>
    <w:bookmarkEnd w:id="23"/>
    <w:bookmarkStart w:id="24" w:name="X504f4a86e01fdcfa46a4589bb1b5e0cfaad8629"/>
    <w:p>
      <w:pPr>
        <w:pStyle w:val="Heading3"/>
      </w:pPr>
      <w:r>
        <w:t xml:space="preserve">2026 Land Sector and Removals (LSR) Standard Update:</w:t>
      </w:r>
    </w:p>
    <w:p>
      <w:pPr>
        <w:pStyle w:val="FirstParagraph"/>
      </w:pPr>
      <w:r>
        <w:t xml:space="preserve">The 2026 LSR Standard, effective January 1, 2027, provides comprehensive guidance for entities with significant land sector activities and those reporting CO2 removals. For a manufactured product like qijlljqnko, the direct land use emissions are primarily embedded in the upstream supply chain of its constituent materials (e.g., bio-based plastics or agricultural inputs, if any). This standard reinforces the need for transparent and robust data on material origins and any associated land-use change or carbon removal activities to be accurately captured within Scope 3 emissions. This analysis conceptually integrates the principles by accounting for material impacts, which would ideally include such considerations from primary suppliers.</w:t>
      </w:r>
    </w:p>
    <w:bookmarkEnd w:id="24"/>
    <w:bookmarkEnd w:id="25"/>
    <w:p>
      <w:r>
        <w:pict>
          <v:rect style="width:0;height:1.5pt" o:hralign="center" o:hrstd="t" o:hr="t"/>
        </w:pict>
      </w:r>
    </w:p>
    <w:bookmarkStart w:id="31" w:name="X07cf0ea829f60a4f8fa47c00f72a11793fbe483"/>
    <w:p>
      <w:pPr>
        <w:pStyle w:val="Heading2"/>
      </w:pPr>
      <w:r>
        <w:t xml:space="preserve">2. Lifecycle Mapping (LCI Inventory Stages) &amp; 3. Data Collection</w:t>
      </w:r>
    </w:p>
    <w:p>
      <w:pPr>
        <w:pStyle w:val="FirstParagraph"/>
      </w:pPr>
      <w:r>
        <w:t xml:space="preserve">The lifecycle of qijlljqnko has been mapped to include the following stages, with data collected or simulated based on the provided parameters:</w:t>
      </w:r>
    </w:p>
    <w:bookmarkStart w:id="26" w:name="X13e0860a3fc35bddf7d7c438b794e2dce51e9e5"/>
    <w:p>
      <w:pPr>
        <w:pStyle w:val="Heading3"/>
      </w:pPr>
      <w:r>
        <w:t xml:space="preserve">Material Acquisition &amp; Production (Upstream - Scope 3, Category 1: Purchased Goods and Services)</w:t>
      </w:r>
    </w:p>
    <w:p>
      <w:pPr>
        <w:pStyle w:val="FirstParagraph"/>
      </w:pPr>
      <w:r>
        <w:t xml:space="preserve">The Detailed Bill of Materials (BOM) for qijlljqnko was provided as "xosehvsr". As this was a placeholder string, illustrative BOM data adhering to the specified format (ID, Description, Category, Process, Qty, Unit, Emission Factor, Total Carbon) has been generated to enable calculation. This simulated BOM reflects a typical composition for a \'Smart Widget\', allowing for material impact calculation based on representative emission factors.</w:t>
      </w:r>
    </w:p>
    <w:p>
      <w:pPr>
        <w:pStyle w:val="BodyText"/>
      </w:pPr>
      <w:r>
        <w:rPr>
          <w:bCs/>
          <w:b/>
        </w:rPr>
        <w:t xml:space="preserve">Assumed Product Weight:</w:t>
      </w:r>
      <w:r>
        <w:t xml:space="preserve"> </w:t>
      </w:r>
      <w:r>
        <w:t xml:space="preserve">0.5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0.900</w:t>
            </w:r>
          </w:p>
        </w:tc>
      </w:tr>
      <w:tr>
        <w:tc>
          <w:tcPr/>
          <w:p>
            <w:pPr>
              <w:pStyle w:val="Compact"/>
              <w:jc w:val="left"/>
            </w:pPr>
            <w:r>
              <w:t xml:space="preserve">M03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M06</w:t>
            </w:r>
          </w:p>
        </w:tc>
        <w:tc>
          <w:tcPr/>
          <w:p>
            <w:pPr>
              <w:pStyle w:val="Compact"/>
              <w:jc w:val="left"/>
            </w:pPr>
            <w:r>
              <w:t xml:space="preserve">Display (Glass/LCD)</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4"/>
          </w:tcPr>
          <w:p>
            <w:pPr>
              <w:pStyle w:val="Compact"/>
              <w:jc w:val="left"/>
            </w:pPr>
            <w:r>
              <w:t xml:space="preserve">Total Material Weight / Total Material Carbon Footprint</w:t>
            </w:r>
          </w:p>
        </w:tc>
        <w:tc>
          <w:tcPr/>
          <w:p>
            <w:pPr>
              <w:pStyle w:val="Compact"/>
              <w:jc w:val="left"/>
            </w:pPr>
            <w:r>
              <w:t xml:space="preserve">0.50 kg</w:t>
            </w:r>
          </w:p>
        </w:tc>
        <w:tc>
          <w:tcPr/>
          <w:p>
            <w:pPr>
              <w:pStyle w:val="Compact"/>
            </w:pPr>
          </w:p>
        </w:tc>
        <w:tc>
          <w:tcPr/>
          <w:p>
            <w:pPr>
              <w:pStyle w:val="Compact"/>
            </w:pPr>
          </w:p>
        </w:tc>
        <w:tc>
          <w:tcPr/>
          <w:p>
            <w:pPr>
              <w:pStyle w:val="Compact"/>
              <w:jc w:val="left"/>
            </w:pPr>
            <w:r>
              <w:t xml:space="preserve">4.155 kg CO2e</w:t>
            </w:r>
          </w:p>
        </w:tc>
      </w:tr>
    </w:tbl>
    <w:p>
      <w:pPr>
        <w:pStyle w:val="BodyText"/>
      </w:pPr>
      <w:r>
        <w:t xml:space="preserve">*Note: Emission factors for materials are representative industry averages, such as those found in Ecoinvent or similar LCA databases, used to illustrate the calculation methodology in the absence of specific primary data for \'xosehvsr\'.</w:t>
      </w:r>
    </w:p>
    <w:bookmarkEnd w:id="26"/>
    <w:bookmarkStart w:id="27" w:name="X7eb4563031948c61f40fcf682626bf97c58fae3"/>
    <w:p>
      <w:pPr>
        <w:pStyle w:val="Heading3"/>
      </w:pPr>
      <w:r>
        <w:t xml:space="preserve">Production Phase (Factory Gate - Scope 2: Purchased Electricity)</w:t>
      </w:r>
    </w:p>
    <w:p>
      <w:pPr>
        <w:numPr>
          <w:ilvl w:val="0"/>
          <w:numId w:val="1003"/>
        </w:numPr>
        <w:pStyle w:val="Compact"/>
      </w:pPr>
      <w:r>
        <w:rPr>
          <w:bCs/>
          <w:b/>
        </w:rPr>
        <w:t xml:space="preserve">Energy Intensity (kWh/unit):</w:t>
      </w:r>
      <w:r>
        <w:t xml:space="preserve"> </w:t>
      </w:r>
      <w:r>
        <w:t xml:space="preserve">ynlgxqwdrp (simulated as 10 kWh/unit)</w:t>
      </w:r>
    </w:p>
    <w:p>
      <w:pPr>
        <w:numPr>
          <w:ilvl w:val="0"/>
          <w:numId w:val="1003"/>
        </w:numPr>
        <w:pStyle w:val="Compact"/>
      </w:pPr>
      <w:r>
        <w:rPr>
          <w:bCs/>
          <w:b/>
        </w:rPr>
        <w:t xml:space="preserve">Renewable Energy Usage:</w:t>
      </w:r>
      <w:r>
        <w:t xml:space="preserve"> </w:t>
      </w:r>
      <w:r>
        <w:t xml:space="preserve">efpyfqxgvg (simulated as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0.6205 kg CO2e/kWh (2023 national average)</w:t>
      </w:r>
    </w:p>
    <w:bookmarkEnd w:id="27"/>
    <w:bookmarkStart w:id="28" w:name="X78f67901646abfe12beba9e8cbdb22ec83cdef6"/>
    <w:p>
      <w:pPr>
        <w:pStyle w:val="Heading3"/>
      </w:pPr>
      <w:r>
        <w:t xml:space="preserve">Transport (Scope 3, Category 4: Upstream T&amp;D; Category 9: Downstream T&amp;D)</w:t>
      </w:r>
    </w:p>
    <w:p>
      <w:pPr>
        <w:numPr>
          <w:ilvl w:val="0"/>
          <w:numId w:val="1004"/>
        </w:numPr>
        <w:pStyle w:val="Compact"/>
      </w:pPr>
      <w:r>
        <w:rPr>
          <w:bCs/>
          <w:b/>
        </w:rPr>
        <w:t xml:space="preserve">Assumed Product Weight:</w:t>
      </w:r>
      <w:r>
        <w:t xml:space="preserve"> </w:t>
      </w:r>
      <w:r>
        <w:t xml:space="preserve">0.5 kg</w:t>
      </w:r>
    </w:p>
    <w:p>
      <w:pPr>
        <w:numPr>
          <w:ilvl w:val="0"/>
          <w:numId w:val="1004"/>
        </w:numPr>
        <w:pStyle w:val="Compact"/>
      </w:pPr>
      <w:r>
        <w:rPr>
          <w:bCs/>
          <w:b/>
        </w:rPr>
        <w:t xml:space="preserve">Upstream Transport (Materials to China Factory):</w:t>
      </w:r>
    </w:p>
    <w:p>
      <w:pPr>
        <w:numPr>
          <w:ilvl w:val="1"/>
          <w:numId w:val="1005"/>
        </w:numPr>
        <w:pStyle w:val="Compact"/>
      </w:pPr>
      <w:r>
        <w:rPr>
          <w:bCs/>
          <w:b/>
        </w:rPr>
        <w:t xml:space="preserve">Mode:</w:t>
      </w:r>
      <w:r>
        <w:t xml:space="preserve"> </w:t>
      </w:r>
      <w:r>
        <w:t xml:space="preserve">Road freight (Heavy Goods Vehicle, articulated, &gt;16t)</w:t>
      </w:r>
    </w:p>
    <w:p>
      <w:pPr>
        <w:numPr>
          <w:ilvl w:val="1"/>
          <w:numId w:val="1005"/>
        </w:numPr>
        <w:pStyle w:val="Compact"/>
      </w:pPr>
      <w:r>
        <w:rPr>
          <w:bCs/>
          <w:b/>
        </w:rPr>
        <w:t xml:space="preserve">Distance:</w:t>
      </w:r>
      <w:r>
        <w:t xml:space="preserve"> </w:t>
      </w:r>
      <w:r>
        <w:t xml:space="preserve">Assumed 2000 km (generic average for European supply chain to China)</w:t>
      </w:r>
    </w:p>
    <w:p>
      <w:pPr>
        <w:numPr>
          <w:ilvl w:val="1"/>
          <w:numId w:val="1005"/>
        </w:numPr>
        <w:pStyle w:val="Compact"/>
      </w:pPr>
      <w:r>
        <w:rPr>
          <w:bCs/>
          <w:b/>
        </w:rPr>
        <w:t xml:space="preserve">Emission Factor:</w:t>
      </w:r>
      <w:r>
        <w:t xml:space="preserve"> </w:t>
      </w:r>
      <w:r>
        <w:t xml:space="preserve">0.062 kg CO2e/tonne-km (McKinnon recommendation for road transport)</w:t>
      </w:r>
    </w:p>
    <w:p>
      <w:pPr>
        <w:numPr>
          <w:ilvl w:val="0"/>
          <w:numId w:val="1004"/>
        </w:numPr>
        <w:pStyle w:val="Compact"/>
      </w:pPr>
      <w:r>
        <w:rPr>
          <w:bCs/>
          <w:b/>
        </w:rPr>
        <w:t xml:space="preserve">Downstream Transport (Factory to Customer - Europe):</w:t>
      </w:r>
    </w:p>
    <w:p>
      <w:pPr>
        <w:numPr>
          <w:ilvl w:val="1"/>
          <w:numId w:val="1006"/>
        </w:numPr>
        <w:pStyle w:val="Compact"/>
      </w:pPr>
      <w:r>
        <w:rPr>
          <w:bCs/>
          <w:b/>
        </w:rPr>
        <w:t xml:space="preserve">Main Transport Mode:</w:t>
      </w:r>
      <w:r>
        <w:t xml:space="preserve"> </w:t>
      </w:r>
      <w:r>
        <w:t xml:space="preserve">Select Mode (simulated as Road freight, Heavy Goods Vehicle, articulated, &gt;16t)</w:t>
      </w:r>
    </w:p>
    <w:p>
      <w:pPr>
        <w:numPr>
          <w:ilvl w:val="1"/>
          <w:numId w:val="1006"/>
        </w:numPr>
        <w:pStyle w:val="Compact"/>
      </w:pPr>
      <w:r>
        <w:rPr>
          <w:bCs/>
          <w:b/>
        </w:rPr>
        <w:t xml:space="preserve">Main Transport Distance:</w:t>
      </w:r>
      <w:r>
        <w:t xml:space="preserve"> </w:t>
      </w:r>
      <w:r>
        <w:t xml:space="preserve">fixxxyithw (simulated as 1500 km)</w:t>
      </w:r>
    </w:p>
    <w:p>
      <w:pPr>
        <w:numPr>
          <w:ilvl w:val="1"/>
          <w:numId w:val="1006"/>
        </w:numPr>
        <w:pStyle w:val="Compact"/>
      </w:pPr>
      <w:r>
        <w:rPr>
          <w:bCs/>
          <w:b/>
        </w:rPr>
        <w:t xml:space="preserve">Emission Factor:</w:t>
      </w:r>
      <w:r>
        <w:t xml:space="preserve"> </w:t>
      </w:r>
      <w:r>
        <w:t xml:space="preserve">0.062 kg CO2e/tonne-km</w:t>
      </w:r>
    </w:p>
    <w:p>
      <w:pPr>
        <w:numPr>
          <w:ilvl w:val="1"/>
          <w:numId w:val="1006"/>
        </w:numPr>
        <w:pStyle w:val="Compact"/>
      </w:pPr>
      <w:r>
        <w:rPr>
          <w:bCs/>
          <w:b/>
        </w:rPr>
        <w:t xml:space="preserve">Last-Mile Delivery Channel:</w:t>
      </w:r>
      <w:r>
        <w:t xml:space="preserve"> </w:t>
      </w:r>
      <w:r>
        <w:t xml:space="preserve">Delivery Type (simulated as Light Commercial Vehicle / Van)</w:t>
      </w:r>
    </w:p>
    <w:p>
      <w:pPr>
        <w:numPr>
          <w:ilvl w:val="1"/>
          <w:numId w:val="1006"/>
        </w:numPr>
        <w:pStyle w:val="Compact"/>
      </w:pPr>
      <w:r>
        <w:rPr>
          <w:bCs/>
          <w:b/>
        </w:rPr>
        <w:t xml:space="preserve">Last-Mile Delivery Distance:</w:t>
      </w:r>
      <w:r>
        <w:t xml:space="preserve"> </w:t>
      </w:r>
      <w:r>
        <w:t xml:space="preserve">Assumed 50 km</w:t>
      </w:r>
    </w:p>
    <w:p>
      <w:pPr>
        <w:numPr>
          <w:ilvl w:val="1"/>
          <w:numId w:val="1006"/>
        </w:numPr>
        <w:pStyle w:val="Compact"/>
      </w:pPr>
      <w:r>
        <w:rPr>
          <w:bCs/>
          <w:b/>
        </w:rPr>
        <w:t xml:space="preserve">Emission Factor:</w:t>
      </w:r>
      <w:r>
        <w:t xml:space="preserve"> </w:t>
      </w:r>
      <w:r>
        <w:t xml:space="preserve">0.3 kg CO2e/tonne-km (representative for LCV, higher due to lower average load)</w:t>
      </w:r>
    </w:p>
    <w:bookmarkEnd w:id="28"/>
    <w:bookmarkStart w:id="29" w:name="Xb6379c31f00345ccff01e90b5cbf0314a51933a"/>
    <w:p>
      <w:pPr>
        <w:pStyle w:val="Heading3"/>
      </w:pPr>
      <w:r>
        <w:t xml:space="preserve">Use Phase (Downstream - Scope 3, Category 11: Use of Sold Products)</w:t>
      </w:r>
    </w:p>
    <w:p>
      <w:pPr>
        <w:numPr>
          <w:ilvl w:val="0"/>
          <w:numId w:val="1007"/>
        </w:numPr>
        <w:pStyle w:val="Compact"/>
      </w:pPr>
      <w:r>
        <w:rPr>
          <w:bCs/>
          <w:b/>
        </w:rPr>
        <w:t xml:space="preserve">Product Lifespan:</w:t>
      </w:r>
      <w:r>
        <w:t xml:space="preserve"> </w:t>
      </w:r>
      <w:r>
        <w:t xml:space="preserve">tzlgqrqgei (simulated as 5 years)</w:t>
      </w:r>
    </w:p>
    <w:p>
      <w:pPr>
        <w:numPr>
          <w:ilvl w:val="0"/>
          <w:numId w:val="1007"/>
        </w:numPr>
        <w:pStyle w:val="Compact"/>
      </w:pPr>
      <w:r>
        <w:rPr>
          <w:bCs/>
          <w:b/>
        </w:rPr>
        <w:t xml:space="preserve">Energy Consumption in Use:</w:t>
      </w:r>
      <w:r>
        <w:t xml:space="preserve"> </w:t>
      </w:r>
      <w:r>
        <w:t xml:space="preserve">shhgnezuxm (simulated as 5 kWh/year)</w:t>
      </w:r>
    </w:p>
    <w:p>
      <w:pPr>
        <w:numPr>
          <w:ilvl w:val="0"/>
          <w:numId w:val="1007"/>
        </w:numPr>
        <w:pStyle w:val="Compact"/>
      </w:pPr>
      <w:r>
        <w:rPr>
          <w:bCs/>
          <w:b/>
        </w:rPr>
        <w:t xml:space="preserve">Geographic Scope for Use:</w:t>
      </w:r>
      <w:r>
        <w:t xml:space="preserve"> </w:t>
      </w:r>
      <w:r>
        <w:t xml:space="preserve">Europe Focused (implies EU electricity grid mix)</w:t>
      </w:r>
    </w:p>
    <w:p>
      <w:pPr>
        <w:numPr>
          <w:ilvl w:val="0"/>
          <w:numId w:val="1007"/>
        </w:numPr>
        <w:pStyle w:val="Compact"/>
      </w:pPr>
      <w:r>
        <w:rPr>
          <w:bCs/>
          <w:b/>
        </w:rPr>
        <w:t xml:space="preserve">European Union Grid Electricity Emission Factor:</w:t>
      </w:r>
      <w:r>
        <w:t xml:space="preserve"> </w:t>
      </w:r>
      <w:r>
        <w:t xml:space="preserve">0.28 kg CO2e/kWh (representative EU blend)</w:t>
      </w:r>
    </w:p>
    <w:bookmarkEnd w:id="29"/>
    <w:bookmarkStart w:id="30" w:name="X1cfd742b3058aacf0b20cbe81020866aff2669f"/>
    <w:p>
      <w:pPr>
        <w:pStyle w:val="Heading3"/>
      </w:pPr>
      <w:r>
        <w:t xml:space="preserve">End-of-Life (Downstream - Scope 3, Category 12: End-of-Life Treatment of Sold Products)</w:t>
      </w:r>
    </w:p>
    <w:p>
      <w:pPr>
        <w:numPr>
          <w:ilvl w:val="0"/>
          <w:numId w:val="1008"/>
        </w:numPr>
        <w:pStyle w:val="Compact"/>
      </w:pPr>
      <w:r>
        <w:rPr>
          <w:bCs/>
          <w:b/>
        </w:rPr>
        <w:t xml:space="preserve">Product Weight:</w:t>
      </w:r>
      <w:r>
        <w:t xml:space="preserve"> </w:t>
      </w:r>
      <w:r>
        <w:t xml:space="preserve">0.5 kg</w:t>
      </w:r>
    </w:p>
    <w:p>
      <w:pPr>
        <w:numPr>
          <w:ilvl w:val="0"/>
          <w:numId w:val="1008"/>
        </w:numPr>
        <w:pStyle w:val="Compact"/>
      </w:pPr>
      <w:r>
        <w:rPr>
          <w:bCs/>
          <w:b/>
        </w:rPr>
        <w:t xml:space="preserve">Recyclability Percentage:</w:t>
      </w:r>
      <w:r>
        <w:t xml:space="preserve"> </w:t>
      </w:r>
      <w:r>
        <w:t xml:space="preserve">ejodthnoth (simulated as 70%)</w:t>
      </w:r>
    </w:p>
    <w:p>
      <w:pPr>
        <w:numPr>
          <w:ilvl w:val="0"/>
          <w:numId w:val="1008"/>
        </w:numPr>
        <w:pStyle w:val="Compact"/>
      </w:pPr>
      <w:r>
        <w:rPr>
          <w:bCs/>
          <w:b/>
        </w:rPr>
        <w:t xml:space="preserve">Circular/Take-back Programs:</w:t>
      </w:r>
      <w:r>
        <w:t xml:space="preserve"> </w:t>
      </w:r>
      <w:r>
        <w:t xml:space="preserve">ygkustfpjo (simulated as "Yes, comprehensive product take-back and refurbishment program.") - This implies successful collection and processing for recycling.</w:t>
      </w:r>
    </w:p>
    <w:p>
      <w:pPr>
        <w:numPr>
          <w:ilvl w:val="0"/>
          <w:numId w:val="1008"/>
        </w:numPr>
        <w:pStyle w:val="Compact"/>
      </w:pPr>
      <w:r>
        <w:rPr>
          <w:bCs/>
          <w:b/>
        </w:rPr>
        <w:t xml:space="preserve">Assumed EoL Scenario:</w:t>
      </w:r>
      <w:r>
        <w:t xml:space="preserve"> </w:t>
      </w:r>
      <w:r>
        <w:t xml:space="preserve">Based on the 70% recyclability, we assume 70% Recycling, 15% Incineration (with energy recovery), and 15% Landfill for the remaining material.</w:t>
      </w:r>
    </w:p>
    <w:p>
      <w:pPr>
        <w:numPr>
          <w:ilvl w:val="0"/>
          <w:numId w:val="1008"/>
        </w:numPr>
        <w:pStyle w:val="Compact"/>
      </w:pPr>
      <w:r>
        <w:rPr>
          <w:bCs/>
          <w:b/>
        </w:rPr>
        <w:t xml:space="preserve">Emission Factors:</w:t>
      </w:r>
    </w:p>
    <w:p>
      <w:pPr>
        <w:numPr>
          <w:ilvl w:val="1"/>
          <w:numId w:val="1009"/>
        </w:numPr>
        <w:pStyle w:val="Compact"/>
      </w:pPr>
      <w:r>
        <w:rPr>
          <w:bCs/>
          <w:b/>
        </w:rPr>
        <w:t xml:space="preserve">Recycling (avoided emissions):</w:t>
      </w:r>
      <w:r>
        <w:t xml:space="preserve"> </w:t>
      </w:r>
      <w:r>
        <w:t xml:space="preserve">-1.2 kg CO2e/kg (average for mixed plastic recycling avoiding virgin production)</w:t>
      </w:r>
    </w:p>
    <w:p>
      <w:pPr>
        <w:numPr>
          <w:ilvl w:val="1"/>
          <w:numId w:val="1009"/>
        </w:numPr>
        <w:pStyle w:val="Compact"/>
      </w:pPr>
      <w:r>
        <w:rPr>
          <w:bCs/>
          <w:b/>
        </w:rPr>
        <w:t xml:space="preserve">Incineration (plastic with energy recovery):</w:t>
      </w:r>
      <w:r>
        <w:t xml:space="preserve"> </w:t>
      </w:r>
      <w:r>
        <w:t xml:space="preserve">0.5 kg CO2e/kg (illustrative, considering energy recovery benefits)</w:t>
      </w:r>
    </w:p>
    <w:p>
      <w:pPr>
        <w:numPr>
          <w:ilvl w:val="1"/>
          <w:numId w:val="1009"/>
        </w:numPr>
        <w:pStyle w:val="Compact"/>
      </w:pPr>
      <w:r>
        <w:rPr>
          <w:bCs/>
          <w:b/>
        </w:rPr>
        <w:t xml:space="preserve">Landfill (plastic):</w:t>
      </w:r>
      <w:r>
        <w:t xml:space="preserve"> </w:t>
      </w:r>
      <w:r>
        <w:t xml:space="preserve">0.033 kg CO2e/kg (UK BEIS/Defra conversion factor)</w:t>
      </w:r>
    </w:p>
    <w:bookmarkEnd w:id="30"/>
    <w:bookmarkEnd w:id="31"/>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The calculations for each lifecycle stage are detailed below, categorized by GHG Protocol scopes.</w:t>
      </w:r>
    </w:p>
    <w:bookmarkStart w:id="32"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Basis</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 1)</w:t>
            </w:r>
          </w:p>
        </w:tc>
        <w:tc>
          <w:tcPr/>
          <w:p>
            <w:pPr>
              <w:pStyle w:val="Compact"/>
              <w:jc w:val="left"/>
            </w:pPr>
            <w:r>
              <w:t xml:space="preserve">Sum of Total Carbon from BOM</w:t>
            </w:r>
          </w:p>
        </w:tc>
        <w:tc>
          <w:tcPr/>
          <w:p>
            <w:pPr>
              <w:pStyle w:val="Compact"/>
              <w:jc w:val="left"/>
            </w:pPr>
            <w:r>
              <w:t xml:space="preserve">4.155</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(10 kWh/unit * 50% non-renewable) * 0.6205 kg CO2e/kWh (China)</w:t>
            </w:r>
          </w:p>
        </w:tc>
        <w:tc>
          <w:tcPr/>
          <w:p>
            <w:pPr>
              <w:pStyle w:val="Compact"/>
              <w:jc w:val="left"/>
            </w:pPr>
            <w:r>
              <w:t xml:space="preserve">3.1025</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0.0005 tonnes * 2000 km * 0.062 kg CO2e/tonne-km</w:t>
            </w:r>
          </w:p>
        </w:tc>
        <w:tc>
          <w:tcPr/>
          <w:p>
            <w:pPr>
              <w:pStyle w:val="Compact"/>
              <w:jc w:val="left"/>
            </w:pPr>
            <w:r>
              <w:t xml:space="preserve">0.062</w:t>
            </w:r>
          </w:p>
        </w:tc>
      </w:tr>
      <w:tr>
        <w:tc>
          <w:tcPr/>
          <w:p>
            <w:pPr>
              <w:pStyle w:val="Compact"/>
              <w:jc w:val="left"/>
            </w:pPr>
            <w:r>
              <w:t xml:space="preserve">Downstream Transport (Main)</w:t>
            </w:r>
          </w:p>
        </w:tc>
        <w:tc>
          <w:tcPr/>
          <w:p>
            <w:pPr>
              <w:pStyle w:val="Compact"/>
              <w:jc w:val="left"/>
            </w:pPr>
            <w:r>
              <w:t xml:space="preserve">Scope 3 (Cat. 9)</w:t>
            </w:r>
          </w:p>
        </w:tc>
        <w:tc>
          <w:tcPr/>
          <w:p>
            <w:pPr>
              <w:pStyle w:val="Compact"/>
              <w:jc w:val="left"/>
            </w:pPr>
            <w:r>
              <w:t xml:space="preserve">0.0005 tonnes * 1500 km * 0.062 kg CO2e/tonne-km</w:t>
            </w:r>
          </w:p>
        </w:tc>
        <w:tc>
          <w:tcPr/>
          <w:p>
            <w:pPr>
              <w:pStyle w:val="Compact"/>
              <w:jc w:val="left"/>
            </w:pPr>
            <w:r>
              <w:t xml:space="preserve">0.0465</w:t>
            </w:r>
          </w:p>
        </w:tc>
      </w:tr>
      <w:tr>
        <w:tc>
          <w:tcPr/>
          <w:p>
            <w:pPr>
              <w:pStyle w:val="Compact"/>
              <w:jc w:val="left"/>
            </w:pPr>
            <w:r>
              <w:t xml:space="preserve">Downstream Transport (Last-Mile)</w:t>
            </w:r>
          </w:p>
        </w:tc>
        <w:tc>
          <w:tcPr/>
          <w:p>
            <w:pPr>
              <w:pStyle w:val="Compact"/>
              <w:jc w:val="left"/>
            </w:pPr>
            <w:r>
              <w:t xml:space="preserve">Scope 3 (Cat. 9)</w:t>
            </w:r>
          </w:p>
        </w:tc>
        <w:tc>
          <w:tcPr/>
          <w:p>
            <w:pPr>
              <w:pStyle w:val="Compact"/>
              <w:jc w:val="left"/>
            </w:pPr>
            <w:r>
              <w:t xml:space="preserve">0.0005 tonnes * 50 km * 0.3 kg CO2e/tonne-km</w:t>
            </w:r>
          </w:p>
        </w:tc>
        <w:tc>
          <w:tcPr/>
          <w:p>
            <w:pPr>
              <w:pStyle w:val="Compact"/>
              <w:jc w:val="left"/>
            </w:pPr>
            <w:r>
              <w:t xml:space="preserve">0.0075</w:t>
            </w:r>
          </w:p>
        </w:tc>
      </w:tr>
      <w:tr>
        <w:tc>
          <w:tcPr/>
          <w:p>
            <w:pPr>
              <w:pStyle w:val="Compact"/>
              <w:jc w:val="left"/>
            </w:pPr>
            <w:r>
              <w:t xml:space="preserve">Use Phase (Electricity)</w:t>
            </w:r>
          </w:p>
        </w:tc>
        <w:tc>
          <w:tcPr/>
          <w:p>
            <w:pPr>
              <w:pStyle w:val="Compact"/>
              <w:jc w:val="left"/>
            </w:pPr>
            <w:r>
              <w:t xml:space="preserve">Scope 3 (Cat. 11)</w:t>
            </w:r>
          </w:p>
        </w:tc>
        <w:tc>
          <w:tcPr/>
          <w:p>
            <w:pPr>
              <w:pStyle w:val="Compact"/>
              <w:jc w:val="left"/>
            </w:pPr>
            <w:r>
              <w:t xml:space="preserve">(5 years * 5 kWh/year) * 0.28 kg CO2e/kWh (EU)</w:t>
            </w:r>
          </w:p>
        </w:tc>
        <w:tc>
          <w:tcPr/>
          <w:p>
            <w:pPr>
              <w:pStyle w:val="Compact"/>
              <w:jc w:val="left"/>
            </w:pPr>
            <w:r>
              <w:t xml:space="preserve">7.000</w:t>
            </w:r>
          </w:p>
        </w:tc>
      </w:tr>
      <w:tr>
        <w:tc>
          <w:tcPr/>
          <w:p>
            <w:pPr>
              <w:pStyle w:val="Compact"/>
              <w:jc w:val="left"/>
            </w:pPr>
            <w:r>
              <w:t xml:space="preserve">End-of-Life (Recycling)</w:t>
            </w:r>
          </w:p>
        </w:tc>
        <w:tc>
          <w:tcPr/>
          <w:p>
            <w:pPr>
              <w:pStyle w:val="Compact"/>
              <w:jc w:val="left"/>
            </w:pPr>
            <w:r>
              <w:t xml:space="preserve">Scope 3 (Cat. 12)</w:t>
            </w:r>
          </w:p>
        </w:tc>
        <w:tc>
          <w:tcPr/>
          <w:p>
            <w:pPr>
              <w:pStyle w:val="Compact"/>
              <w:jc w:val="left"/>
            </w:pPr>
            <w:r>
              <w:t xml:space="preserve">0.35 kg * -1.2 kg CO2e/kg (avoided emissions)</w:t>
            </w:r>
          </w:p>
        </w:tc>
        <w:tc>
          <w:tcPr/>
          <w:p>
            <w:pPr>
              <w:pStyle w:val="Compact"/>
              <w:jc w:val="left"/>
            </w:pPr>
            <w:r>
              <w:t xml:space="preserve">-0.420</w:t>
            </w:r>
          </w:p>
        </w:tc>
      </w:tr>
      <w:tr>
        <w:tc>
          <w:tcPr/>
          <w:p>
            <w:pPr>
              <w:pStyle w:val="Compact"/>
              <w:jc w:val="left"/>
            </w:pPr>
            <w:r>
              <w:t xml:space="preserve">End-of-Life (Incineration)</w:t>
            </w:r>
          </w:p>
        </w:tc>
        <w:tc>
          <w:tcPr/>
          <w:p>
            <w:pPr>
              <w:pStyle w:val="Compact"/>
              <w:jc w:val="left"/>
            </w:pPr>
            <w:r>
              <w:t xml:space="preserve">Scope 3 (Cat. 12)</w:t>
            </w:r>
          </w:p>
        </w:tc>
        <w:tc>
          <w:tcPr/>
          <w:p>
            <w:pPr>
              <w:pStyle w:val="Compact"/>
              <w:jc w:val="left"/>
            </w:pPr>
            <w:r>
              <w:t xml:space="preserve">0.075 kg * 0.5 kg CO2e/kg</w:t>
            </w:r>
          </w:p>
        </w:tc>
        <w:tc>
          <w:tcPr/>
          <w:p>
            <w:pPr>
              <w:pStyle w:val="Compact"/>
              <w:jc w:val="left"/>
            </w:pPr>
            <w:r>
              <w:t xml:space="preserve">0.0375</w:t>
            </w:r>
          </w:p>
        </w:tc>
      </w:tr>
      <w:tr>
        <w:tc>
          <w:tcPr/>
          <w:p>
            <w:pPr>
              <w:pStyle w:val="Compact"/>
              <w:jc w:val="left"/>
            </w:pPr>
            <w:r>
              <w:t xml:space="preserve">End-of-Life (Landfill)</w:t>
            </w:r>
          </w:p>
        </w:tc>
        <w:tc>
          <w:tcPr/>
          <w:p>
            <w:pPr>
              <w:pStyle w:val="Compact"/>
              <w:jc w:val="left"/>
            </w:pPr>
            <w:r>
              <w:t xml:space="preserve">Scope 3 (Cat. 12)</w:t>
            </w:r>
          </w:p>
        </w:tc>
        <w:tc>
          <w:tcPr/>
          <w:p>
            <w:pPr>
              <w:pStyle w:val="Compact"/>
              <w:jc w:val="left"/>
            </w:pPr>
            <w:r>
              <w:t xml:space="preserve">0.075 kg * 0.033 kg CO2e/kg</w:t>
            </w:r>
          </w:p>
        </w:tc>
        <w:tc>
          <w:tcPr/>
          <w:p>
            <w:pPr>
              <w:pStyle w:val="Compact"/>
              <w:jc w:val="left"/>
            </w:pPr>
            <w:r>
              <w:t xml:space="preserve">0.002475</w:t>
            </w:r>
          </w:p>
        </w:tc>
      </w:tr>
      <w:tr>
        <w:tc>
          <w:tcPr>
            <w:gridSpan w:val="3"/>
          </w:tcPr>
          <w:p>
            <w:pPr>
              <w:pStyle w:val="Compact"/>
              <w:jc w:val="left"/>
            </w:pPr>
            <w:r>
              <w:t xml:space="preserve">Total Product Carbon Footprint (PCF) per functional unit</w:t>
            </w:r>
          </w:p>
        </w:tc>
        <w:tc>
          <w:tcPr/>
          <w:p>
            <w:pPr>
              <w:pStyle w:val="Compact"/>
              <w:jc w:val="left"/>
            </w:pPr>
            <w:r>
              <w:t xml:space="preserve">13.99 kg CO2e</w:t>
            </w:r>
          </w:p>
        </w:tc>
      </w:tr>
    </w:tbl>
    <w:bookmarkEnd w:id="32"/>
    <w:bookmarkStart w:id="34" w:name="Xdd827b8eb3b37e4b9418d969434fa6cefa3d4e8"/>
    <w:p>
      <w:pPr>
        <w:pStyle w:val="Heading3"/>
      </w:pPr>
      <w:r>
        <w:t xml:space="preserve">Emissions Categorization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(Manufacturing)</w:t>
            </w:r>
          </w:p>
        </w:tc>
        <w:tc>
          <w:tcPr/>
          <w:p>
            <w:pPr>
              <w:pStyle w:val="Compact"/>
              <w:jc w:val="left"/>
            </w:pPr>
            <w:r>
              <w:t xml:space="preserve">3.10</w:t>
            </w:r>
          </w:p>
        </w:tc>
        <w:tc>
          <w:tcPr/>
          <w:p>
            <w:pPr>
              <w:pStyle w:val="Compact"/>
              <w:jc w:val="left"/>
            </w:pPr>
            <w:r>
              <w:t xml:space="preserve">22.16%</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10.89</w:t>
            </w:r>
          </w:p>
        </w:tc>
        <w:tc>
          <w:tcPr/>
          <w:p>
            <w:pPr>
              <w:pStyle w:val="Compact"/>
              <w:jc w:val="left"/>
            </w:pPr>
            <w:r>
              <w:t xml:space="preserve">77.84%</w:t>
            </w:r>
          </w:p>
        </w:tc>
      </w:tr>
      <w:tr>
        <w:tc>
          <w:tcPr>
            <w:gridSpan w:val="2"/>
          </w:tcPr>
          <w:p>
            <w:pPr>
              <w:pStyle w:val="Compact"/>
              <w:jc w:val="left"/>
            </w:pPr>
            <w:r>
              <w:t xml:space="preserve">Total PCF</w:t>
            </w:r>
          </w:p>
        </w:tc>
        <w:tc>
          <w:tcPr/>
          <w:p>
            <w:pPr>
              <w:pStyle w:val="Compact"/>
              <w:jc w:val="left"/>
            </w:pPr>
            <w:r>
              <w:t xml:space="preserve">13.99</w:t>
            </w:r>
          </w:p>
        </w:tc>
        <w:tc>
          <w:tcPr/>
          <w:p>
            <w:pPr>
              <w:pStyle w:val="Compact"/>
              <w:jc w:val="left"/>
            </w:pPr>
            <w:r>
              <w:t xml:space="preserve">100.00%</w:t>
            </w:r>
          </w:p>
        </w:tc>
      </w:tr>
    </w:tbl>
    <w:p>
      <w:pPr>
        <w:pStyle w:val="BodyText"/>
      </w:pPr>
      <w:r>
        <w:t xml:space="preserve">*Note: Due to rounding, sum of percentages may not be exactly 100%.</w:t>
      </w:r>
    </w:p>
    <w:bookmarkStart w:id="33" w:name="scope-3-compliance-2026-requirements"/>
    <w:p>
      <w:pPr>
        <w:pStyle w:val="Heading4"/>
      </w:pPr>
      <w:r>
        <w:t xml:space="preserve">Scope 3 Compliance (2026 Requirements)</w:t>
      </w:r>
    </w:p>
    <w:p>
      <w:pPr>
        <w:pStyle w:val="FirstParagraph"/>
      </w:pPr>
      <w:r>
        <w:t xml:space="preserve">The GHG Protocol\'s 2026 requirements emphasize achieving at least 95% coverage for Scope 3 reporting. While this analysis thoroughly covers the explicitly provided and simulated significant upstream and downstream categories, the calculated Scope 3 emissions represent approximately 77.84% of the total PCF based on these inputs. A comprehensive 95% Scope 3 coverage would typically necessitate a broader data collection effort across all 15 Scope 3 categories, including areas such as capital goods, business travel, employee commuting, and other fuel- and energy-related activities not covered in Scope 1 or 2. This report provides a robust assessment of the specified lifecycle stages, laying the groundwork for further detailed data collection to meet full compliance targets.</w:t>
      </w:r>
    </w:p>
    <w:bookmarkEnd w:id="33"/>
    <w:bookmarkEnd w:id="34"/>
    <w:bookmarkEnd w:id="35"/>
    <w:p>
      <w:r>
        <w:pict>
          <v:rect style="width:0;height:1.5pt" o:hralign="center" o:hrstd="t" o:hr="t"/>
        </w:pict>
      </w:r>
    </w:p>
    <w:bookmarkStart w:id="38"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The analysis reveals the following major emission hotspots for qijlljqnko, highlighting areas for strategic intervention:</w:t>
      </w:r>
    </w:p>
    <w:p>
      <w:pPr>
        <w:numPr>
          <w:ilvl w:val="0"/>
          <w:numId w:val="1010"/>
        </w:numPr>
        <w:pStyle w:val="Compact"/>
      </w:pPr>
      <w:r>
        <w:rPr>
          <w:bCs/>
          <w:b/>
        </w:rPr>
        <w:t xml:space="preserve">Use Phase (7.00 kg CO2e, 50.0% of total):</w:t>
      </w:r>
      <w:r>
        <w:t xml:space="preserve"> </w:t>
      </w:r>
      <w:r>
        <w:t xml:space="preserve">The primary hotspot is the energy consumption during the product\'s 5-year lifespan. This emphasizes the critical role of product energy efficiency and the impact of the end-user\'s electricity mix.</w:t>
      </w:r>
    </w:p>
    <w:p>
      <w:pPr>
        <w:numPr>
          <w:ilvl w:val="0"/>
          <w:numId w:val="1010"/>
        </w:numPr>
        <w:pStyle w:val="Compact"/>
      </w:pPr>
      <w:r>
        <w:rPr>
          <w:bCs/>
          <w:b/>
        </w:rPr>
        <w:t xml:space="preserve">Material Acquisition (4.16 kg CO2e, 29.7% of total):</w:t>
      </w:r>
      <w:r>
        <w:t xml:space="preserve"> </w:t>
      </w:r>
      <w:r>
        <w:t xml:space="preserve">The production of raw materials, particularly the Printed Circuit Board (PCB), Aluminum, and Lithium-ion Battery, contributes significantly to the upfront carbon footprint.</w:t>
      </w:r>
    </w:p>
    <w:p>
      <w:pPr>
        <w:numPr>
          <w:ilvl w:val="0"/>
          <w:numId w:val="1010"/>
        </w:numPr>
        <w:pStyle w:val="Compact"/>
      </w:pPr>
      <w:r>
        <w:rPr>
          <w:bCs/>
          <w:b/>
        </w:rPr>
        <w:t xml:space="preserve">Manufacturing (3.10 kg CO2e, 22.2% of total):</w:t>
      </w:r>
      <w:r>
        <w:t xml:space="preserve"> </w:t>
      </w:r>
      <w:r>
        <w:t xml:space="preserve">The energy consumed in the Chinese manufacturing facility, despite 50% renewable energy usage, remains a notable contributor due to the emission factor of the remaining grid electricity.</w:t>
      </w:r>
    </w:p>
    <w:bookmarkEnd w:id="36"/>
    <w:bookmarkStart w:id="37" w:name="reliability-and-recommendations"/>
    <w:p>
      <w:pPr>
        <w:pStyle w:val="Heading3"/>
      </w:pPr>
      <w:r>
        <w:t xml:space="preserve">Reliability and Recommendations</w:t>
      </w:r>
    </w:p>
    <w:p>
      <w:pPr>
        <w:pStyle w:val="FirstParagraph"/>
      </w:pPr>
      <w:r>
        <w:t xml:space="preserve">The reliability of this PCF analysis is high for the explicitly provided and simulated data points, using representative industry-standard emission factors. However, the accuracy is inherently dependent on the representativeness of these factors and the assumptions made for the placeholder parameters. For enhanced accuracy, primary, supplier-specific data would be ideal.</w:t>
      </w:r>
    </w:p>
    <w:p>
      <w:pPr>
        <w:pStyle w:val="BodyText"/>
      </w:pPr>
      <w:r>
        <w:rPr>
          <w:bCs/>
          <w:b/>
        </w:rPr>
        <w:t xml:space="preserve">Recommendations for poxzssvhrh:</w:t>
      </w:r>
    </w:p>
    <w:p>
      <w:pPr>
        <w:numPr>
          <w:ilvl w:val="0"/>
          <w:numId w:val="1011"/>
        </w:numPr>
        <w:pStyle w:val="Compact"/>
      </w:pPr>
      <w:r>
        <w:rPr>
          <w:bCs/>
          <w:b/>
        </w:rPr>
        <w:t xml:space="preserve">Energy Efficiency in Use:</w:t>
      </w:r>
      <w:r>
        <w:t xml:space="preserve"> </w:t>
      </w:r>
      <w:r>
        <w:t xml:space="preserve">Prioritize design innovations for qijlljqnko to achieve even lower energy consumption during its use phase, directly addressing the largest hotspot. Promote and educate end-users on the benefits of sourcing renewable electricity.</w:t>
      </w:r>
    </w:p>
    <w:p>
      <w:pPr>
        <w:numPr>
          <w:ilvl w:val="0"/>
          <w:numId w:val="1011"/>
        </w:numPr>
        <w:pStyle w:val="Compact"/>
      </w:pPr>
      <w:r>
        <w:rPr>
          <w:bCs/>
          <w:b/>
        </w:rPr>
        <w:t xml:space="preserve">Sustainable Material Sourcing:</w:t>
      </w:r>
      <w:r>
        <w:t xml:space="preserve"> </w:t>
      </w:r>
      <w:r>
        <w:t xml:space="preserve">Investigate and procure alternative materials for high-impact components (PCBs, batteries, aluminum) from suppliers committed to low-carbon production. Explore options for increasing the recycled content of materials.</w:t>
      </w:r>
    </w:p>
    <w:p>
      <w:pPr>
        <w:numPr>
          <w:ilvl w:val="0"/>
          <w:numId w:val="1011"/>
        </w:numPr>
        <w:pStyle w:val="Compact"/>
      </w:pPr>
      <w:r>
        <w:rPr>
          <w:bCs/>
          <w:b/>
        </w:rPr>
        <w:t xml:space="preserve">Manufacturing Decarbonization:</w:t>
      </w:r>
      <w:r>
        <w:t xml:space="preserve"> </w:t>
      </w:r>
      <w:r>
        <w:t xml:space="preserve">Aim to increase the percentage of renewable energy used in the Chinese manufacturing facility beyond the current 50%. This could involve on-site renewable energy generation or participation in high-quality renewable energy procurement schemes.</w:t>
      </w:r>
    </w:p>
    <w:p>
      <w:pPr>
        <w:numPr>
          <w:ilvl w:val="0"/>
          <w:numId w:val="1011"/>
        </w:numPr>
        <w:pStyle w:val="Compact"/>
      </w:pPr>
      <w:r>
        <w:rPr>
          <w:bCs/>
          <w:b/>
        </w:rPr>
        <w:t xml:space="preserve">Supply Chain Engagement:</w:t>
      </w:r>
      <w:r>
        <w:t xml:space="preserve"> </w:t>
      </w:r>
      <w:r>
        <w:t xml:space="preserve">Engage proactively with material suppliers and logistics providers to obtain primary, site-specific emission data. This will significantly improve the accuracy of Scope 3 reporting and identify more precise intervention points.</w:t>
      </w:r>
    </w:p>
    <w:p>
      <w:pPr>
        <w:numPr>
          <w:ilvl w:val="0"/>
          <w:numId w:val="1011"/>
        </w:numPr>
        <w:pStyle w:val="Compact"/>
      </w:pPr>
      <w:r>
        <w:rPr>
          <w:bCs/>
          <w:b/>
        </w:rPr>
        <w:t xml:space="preserve">Circular Economy Integration:</w:t>
      </w:r>
      <w:r>
        <w:t xml:space="preserve"> </w:t>
      </w:r>
      <w:r>
        <w:t xml:space="preserve">Continue to strengthen circular economy initiatives, focusing on increasing the collection, refurbishment, and effective recycling of products at end-of-life to maximize avoided emissions and reduce reliance on virgin materials. Implement design-for-disassembly principles to facilitate material recovery.</w:t>
      </w:r>
    </w:p>
    <w:bookmarkEnd w:id="37"/>
    <w:bookmarkEnd w:id="38"/>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qijlljqnko</dc:title>
  <dc:creator/>
  <dc:description>Detailed Product Carbon Footprint (PCF) analysis report for product qijlljqnko, following GHG Protocol standards and 2026 LSR Update. Prepared by kfhlsovylk for poxzssvhrh.</dc:description>
  <dc:language>en</dc:language>
  <cp:keywords/>
  <dcterms:created xsi:type="dcterms:W3CDTF">2026-05-30T10:35:21Z</dcterms:created>
  <dcterms:modified xsi:type="dcterms:W3CDTF">2026-05-30T10:35:21Z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