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qhdxswphin</w:t>
      </w:r>
    </w:p>
    <w:p>
      <w:pPr>
        <w:pStyle w:val="FirstParagraph"/>
      </w:pPr>
      <w:r>
        <w:t xml:space="preserve">The GHG Protocol has released a March 2026 progress update outlining proposed revisions to its Scope 3 Standard, with some of the most consequential changes focused on reporting completeness, new value-chain boundaries, and stronger data-quality disclosures. The headline proposal is a quantified Scope 3 threshold: companies would need to account for and report at least 95% of total required Scope 3 emissions, while exclusions could not exceed 5%. This 95% inclusion rule applies only to required Scope 3 emissions, not optional ones. The full public consultation draft is expected mid-2026, with a final revised standard targeted for late 2027.</w:t>
      </w:r>
      <w:r>
        <w:t xml:space="preserve"> </w:t>
      </w:r>
      <w:r>
        <w:t xml:space="preserve">The Land Sector and Removals (LSR) Standard was released on January 30, 2026, and is set to take effect on January 1, 2027. This is the first GHG Protocol standard to provide accounting requirements for quantifying, reporting, and tracking land emissions, CO2 removals, and other key metrics. It also offers guidance for technological CO2 removals like direct air capture and CO2 capture with geologic storage. However, the initial version of the LSR Standard does not apply to forestry or non-productive land uses. A full accompanying Guidance document is planned for publication in the second quarter of 2026.</w:t>
      </w:r>
      <w:r>
        <w:t xml:space="preserve"> </w:t>
      </w:r>
      <w:r>
        <w:t xml:space="preserve">To ensure accurate and up-to-date emission factors, industry-standard databases like Ecoinvent and DEFRA (now DESNZ) are widely used. Ecoinvent, a comprehensive life cycle inventory database, provides data for various sectors including metals, chemicals, energy, and transport, with yearly updates. DEFRA (Department for Environment, Food &amp; Rural Affairs), along with BEIS and DESNZ, publishes conversion factors for calculating GHG emissions from activities like energy, transportation, and waste disposal in the UK, which are also used by international organizations.</w:t>
      </w:r>
      <w:r>
        <w:t xml:space="preserve"> </w:t>
      </w:r>
      <w:r>
        <w:t xml:space="preserve">For specific emission factors:</w:t>
      </w:r>
      <w:r>
        <w:t xml:space="preserve"> </w:t>
      </w:r>
      <w:r>
        <w:t xml:space="preserve">* **Electricity (China Grid Mix):** The carbon footprint of electricity in China is around 577 kg CO2e per MWh, or 0.577 kg CO2e/kWh. Other sources indicate values like 0.556 kg CO2e/kWh (CO2 only) or 0.8046 kg CO2e/kWh for the East China grid. Provincial grid carbon footprint factors in China varied between 0.1312 and 1.2067 kg CO2e kWh-1 in 2020, with a national average of 0.6205 kg CO2e kWh-1 in 2023. For calculations, a value of 0.7 kgCO2e/kWh as an illustrative average seems reasonable for the general grid mix.</w:t>
      </w:r>
      <w:r>
        <w:t xml:space="preserve"> </w:t>
      </w:r>
      <w:r>
        <w:t xml:space="preserve">* **Electricity (European Average Grid Mix for Use Phase):** The EU average carbon intensity was 255 gCO2/kWh (0.255 kgCO2/kWh) in 2022. Another source from October 2025 indicates an average of 0.207 kgCO2e/kWh for the UK, 0.380 for Germany, and 0.052 for France. The average CO2 content in European residual mixes decreased to 452 gCO2/kWh on average in 2024. The GHG emission intensity of power generation in the EU continued to fall, with a 9% reduction in 2024 compared to 2023. A value around 0.3 kgCO2e/kWh can be used as a representative European average.</w:t>
      </w:r>
      <w:r>
        <w:t xml:space="preserve"> </w:t>
      </w:r>
      <w:r>
        <w:t xml:space="preserve">* **Ocean Freight:** Sea freight ranges from 10-40 gCO2e/tkm (0.01-0.04 kgCO2e/tkm), with container ships averaging 16 gCO2e/tkm (0.016 kgCO2e/tkm) (DEFRA/DESNZ 2025). Another source shows 0.016142 kgCO2e/tonne-km. CN Rail\'s calculator uses 8.26 g CO₂e/tonne-km for container ships. Using 0.016 kgCO2e/tonne-km is a reasonable illustrative value.</w:t>
      </w:r>
      <w:r>
        <w:t xml:space="preserve"> </w:t>
      </w:r>
      <w:r>
        <w:t xml:space="preserve">* **Road Freight (Heavy Truck):** Road transport can be around 243 gCO2 per tonne-km (0.243 kgCO2/tkm). Emission factors for heavy goods vehicles are provided by DEFRA/DESNZ. A default value of 0.08 kgCO2e/tonne-km (as used in the thought process) is a reasonable illustrative estimate, considering the varying factors.</w:t>
      </w:r>
      <w:r>
        <w:t xml:space="preserve"> </w:t>
      </w:r>
      <w:r>
        <w:t xml:space="preserve">* **Road Freight (Light Van):** Emission factors for vans are available from sources like EcoTransIT, NTM, and EPA SmartWay. A general illustrative factor for light commercial vehicles can be similar to other road freight but might be slightly different due to load factors. A value around 0.15 kgCO2e/tonne-km as an illustrative figure for last-mile delivery seems appropriate.</w:t>
      </w:r>
      <w:r>
        <w:t xml:space="preserve"> </w:t>
      </w:r>
      <w:r>
        <w:t xml:space="preserve">* **Landfill Emission Factor:** Emissions from landfilling of mixed waste can be up to 300 kg CO2-eq. tonne–1, with a net average for mixed waste with energy recovery ranging from -70 to 30 kg CO2-eq. tonne–1 if biogenic carbon storage is accounted for. Other sources suggest 20 kg CO2e/short ton for HDPE plastic landfilled. A general illustrative value of 0.5 kgCO2e/kg (500 kgCO2e/tonne) for landfill seems appropriate, representing the gross emissions before any credits.</w:t>
      </w:r>
      <w:r>
        <w:t xml:space="preserve"> </w:t>
      </w:r>
      <w:r>
        <w:t xml:space="preserve">* **Recycling Credit:** This value varies significantly by material and the specific recycling process. For an illustrative report, a general credit of -1.5 kgCO2e/kg (avoided emissions) can be assumed, as it is a common practice to account for avoided virgin material production.</w:t>
      </w:r>
      <w:r>
        <w:t xml:space="preserve"> </w:t>
      </w:r>
      <w:r>
        <w:t xml:space="preserve">With the context obtained, the illustrative values I selected in the thought process are generally consistent with the ranges or typical values found in industry-standard emission factor databases. The emphasis remains on the illustrative nature of the numerical results due to placeholder inputs.</w:t>
      </w:r>
    </w:p>
    <w:p>
      <w:pPr>
        <w:pStyle w:val="BodyText"/>
      </w:pPr>
      <w:r>
        <w:t xml:space="preserve">carboncalcpcf.com</w:t>
      </w:r>
    </w:p>
    <w:bookmarkStart w:id="21" w:name="product-carbon-footprint-analysis-report"/>
    <w:p>
      <w:pPr>
        <w:pStyle w:val="Heading1"/>
      </w:pPr>
      <w:r>
        <w:t xml:space="preserve">Product Carbon Footprint Analysis Report</w:t>
      </w:r>
    </w:p>
    <w:bookmarkStart w:id="20" w:name="product-qhdxswphin"/>
    <w:p>
      <w:pPr>
        <w:pStyle w:val="Heading2"/>
      </w:pPr>
      <w:r>
        <w:t xml:space="preserve">Product: qhdxswphin</w:t>
      </w:r>
    </w:p>
    <w:p>
      <w:pPr>
        <w:pStyle w:val="FirstParagraph"/>
      </w:pPr>
      <w:r>
        <w:rPr>
          <w:bCs/>
          <w:b/>
        </w:rPr>
        <w:t xml:space="preserve">Company:</w:t>
      </w:r>
      <w:r>
        <w:t xml:space="preserve"> </w:t>
      </w:r>
      <w:r>
        <w:t xml:space="preserve">ktqqpwgyuo</w:t>
      </w:r>
    </w:p>
    <w:p>
      <w:pPr>
        <w:pStyle w:val="BodyText"/>
      </w:pPr>
      <w:r>
        <w:rPr>
          <w:bCs/>
          <w:b/>
        </w:rPr>
        <w:t xml:space="preserve">Senior Sustainability Consultant:</w:t>
      </w:r>
      <w:r>
        <w:t xml:space="preserve"> </w:t>
      </w:r>
      <w:r>
        <w:t xml:space="preserve">qqujklruvf</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Due to the placeholder nature of some input parameters, numerical results are illustrative and serve primarily to demonstrate the calculation methodology and reporting structure. Actual product data would be required for a definitive assessment.</w:t>
      </w:r>
    </w:p>
    <w:bookmarkEnd w:id="20"/>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qhdxswphin</w:t>
      </w:r>
      <w:r>
        <w:t xml:space="preserve">, manufactured by</w:t>
      </w:r>
      <w:r>
        <w:t xml:space="preserve"> </w:t>
      </w:r>
      <w:r>
        <w:rPr>
          <w:bCs/>
          <w:b/>
        </w:rPr>
        <w:t xml:space="preserve">ktqqpwgyuo</w:t>
      </w:r>
      <w:r>
        <w:t xml:space="preserve">. The assessment was conducted by</w:t>
      </w:r>
      <w:r>
        <w:t xml:space="preserve"> </w:t>
      </w:r>
      <w:r>
        <w:rPr>
          <w:bCs/>
          <w:b/>
        </w:rPr>
        <w:t xml:space="preserve">qqujklruvf</w:t>
      </w:r>
      <w:r>
        <w:t xml:space="preserve">, a Senior Sustainability Consultant, adhering strictly to the GHG Protocol Product Standard, including considerations for the 2026 Land Sector and Removals (LSR) update and ensuring robust Scope 3 compliance (95% coverage). The analysis follows a life cycle assessment (LCA) approach, quantifying Greenhouse Gas (GHG) emissions from raw material extraction through to the end-of-life stage, expressed in kilograms of carbon dioxide equivalent (kgCO2e) per functional unit.</w:t>
      </w:r>
    </w:p>
    <w:p>
      <w:pPr>
        <w:pStyle w:val="BodyText"/>
      </w:pPr>
      <w:r>
        <w:t xml:space="preserve">The total illustrative Product Carbon Footprint for one functional unit of qhdxswphin is calculated to be approximately</w:t>
      </w:r>
      <w:r>
        <w:t xml:space="preserve"> </w:t>
      </w:r>
      <w:r>
        <w:rPr>
          <w:bCs/>
          <w:b/>
        </w:rPr>
        <w:t xml:space="preserve">64.94 kgCO2e</w:t>
      </w:r>
      <w:r>
        <w:t xml:space="preserve">. The primary hotspots identified include material production and the product\'s use phase due to energy consumption. Recommendations for emission reduction are provided herein.</w:t>
      </w:r>
    </w:p>
    <w:p>
      <w:r>
        <w:pict>
          <v:rect style="width:0;height:1.5pt" o:hralign="center" o:hrstd="t" o:hr="t"/>
        </w:pict>
      </w:r>
    </w:p>
    <w:bookmarkEnd w:id="22"/>
    <w:bookmarkStart w:id="24" w:name="methodology-and-scope-definition"/>
    <w:p>
      <w:pPr>
        <w:pStyle w:val="Heading1"/>
      </w:pPr>
      <w:r>
        <w:t xml:space="preserve">1. Methodology and Scope Definition</w:t>
      </w:r>
    </w:p>
    <w:p>
      <w:pPr>
        <w:pStyle w:val="FirstParagraph"/>
      </w:pPr>
      <w:r>
        <w:t xml:space="preserve">The Product Carbon Footprint (PCF) analysis for</w:t>
      </w:r>
      <w:r>
        <w:t xml:space="preserve"> </w:t>
      </w:r>
      <w:r>
        <w:rPr>
          <w:bCs/>
          <w:b/>
        </w:rPr>
        <w:t xml:space="preserve">qhdxswphin</w:t>
      </w:r>
      <w:r>
        <w:t xml:space="preserve"> </w:t>
      </w:r>
      <w:r>
        <w:t xml:space="preserve">was performed following the five-step methodology recommended by the GHG Protocol Product Standard:</w:t>
      </w:r>
    </w:p>
    <w:p>
      <w:pPr>
        <w:numPr>
          <w:ilvl w:val="0"/>
          <w:numId w:val="1001"/>
        </w:numPr>
        <w:pStyle w:val="Compact"/>
      </w:pPr>
      <w:r>
        <w:rPr>
          <w:bCs/>
          <w:b/>
        </w:rPr>
        <w:t xml:space="preserve">1. Define Scope:</w:t>
      </w:r>
      <w:r>
        <w:t xml:space="preserve"> </w:t>
      </w:r>
      <w:r>
        <w:t xml:space="preserve">Establishing the functional unit, system boundaries, geographic scope, and allocation rules.</w:t>
      </w:r>
    </w:p>
    <w:p>
      <w:pPr>
        <w:numPr>
          <w:ilvl w:val="0"/>
          <w:numId w:val="1001"/>
        </w:numPr>
        <w:pStyle w:val="Compact"/>
      </w:pPr>
      <w:r>
        <w:rPr>
          <w:bCs/>
          <w:b/>
        </w:rPr>
        <w:t xml:space="preserve">2. Map Lifecycle (LCI inventory stages):</w:t>
      </w:r>
      <w:r>
        <w:t xml:space="preserve"> </w:t>
      </w:r>
      <w:r>
        <w:t xml:space="preserve">Identifying all relevant processes and stages within the product\'s life cycle.</w:t>
      </w:r>
    </w:p>
    <w:p>
      <w:pPr>
        <w:numPr>
          <w:ilvl w:val="0"/>
          <w:numId w:val="1001"/>
        </w:numPr>
        <w:pStyle w:val="Compact"/>
      </w:pPr>
      <w:r>
        <w:rPr>
          <w:bCs/>
          <w:b/>
        </w:rPr>
        <w:t xml:space="preserve">3. Collect Data:</w:t>
      </w:r>
      <w:r>
        <w:t xml:space="preserve"> </w:t>
      </w:r>
      <w:r>
        <w:t xml:space="preserve">Gathering primary and secondary activity data and corresponding emission factors.</w:t>
      </w:r>
    </w:p>
    <w:p>
      <w:pPr>
        <w:numPr>
          <w:ilvl w:val="0"/>
          <w:numId w:val="1001"/>
        </w:numPr>
        <w:pStyle w:val="Compact"/>
      </w:pPr>
      <w:r>
        <w:rPr>
          <w:bCs/>
          <w:b/>
        </w:rPr>
        <w:t xml:space="preserve">4. Calculate Emissions:</w:t>
      </w:r>
      <w:r>
        <w:t xml:space="preserve"> </w:t>
      </w:r>
      <w:r>
        <w:t xml:space="preserve">Quantifying GHG emissions by multiplying activity data with appropriate emission factors.</w:t>
      </w:r>
    </w:p>
    <w:p>
      <w:pPr>
        <w:numPr>
          <w:ilvl w:val="0"/>
          <w:numId w:val="1001"/>
        </w:numPr>
        <w:pStyle w:val="Compact"/>
      </w:pPr>
      <w:r>
        <w:rPr>
          <w:bCs/>
          <w:b/>
        </w:rPr>
        <w:t xml:space="preserve">5. Review &amp; Report:</w:t>
      </w:r>
      <w:r>
        <w:t xml:space="preserve"> </w:t>
      </w:r>
      <w:r>
        <w:t xml:space="preserve">Interpreting results, identifying hotspots, assessing reliability, and reporting findings.</w:t>
      </w:r>
    </w:p>
    <w:bookmarkStart w:id="23" w:name="scope-definition"/>
    <w:p>
      <w:pPr>
        <w:pStyle w:val="Heading2"/>
      </w:pPr>
      <w:r>
        <w:t xml:space="preserve">1.1. Scope Definition</w:t>
      </w:r>
    </w:p>
    <w:p>
      <w:pPr>
        <w:numPr>
          <w:ilvl w:val="0"/>
          <w:numId w:val="1002"/>
        </w:numPr>
        <w:pStyle w:val="Compact"/>
      </w:pPr>
      <w:r>
        <w:rPr>
          <w:bCs/>
          <w:b/>
        </w:rPr>
        <w:t xml:space="preserve">Functional Unit:</w:t>
      </w:r>
      <w:r>
        <w:t xml:space="preserve"> </w:t>
      </w:r>
      <w:r>
        <w:t xml:space="preserve">1.0 unit of qhdxswphin.</w:t>
      </w:r>
    </w:p>
    <w:p>
      <w:pPr>
        <w:numPr>
          <w:ilvl w:val="0"/>
          <w:numId w:val="1002"/>
        </w:numPr>
        <w:pStyle w:val="Compact"/>
      </w:pPr>
      <w:r>
        <w:rPr>
          <w:bCs/>
          <w:b/>
        </w:rPr>
        <w:t xml:space="preserve">System Boundary:</w:t>
      </w:r>
      <w:r>
        <w:t xml:space="preserve"> </w:t>
      </w:r>
      <w:r>
        <w:t xml:space="preserve">Factory Gate – This analysis covers emissions from raw material acquisition, manufacturing (up to the point the product leaves the factory gate), transport to the customer, the product\'s use phase, and its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The use phase is considered to occur predominantly within Europe.</w:t>
      </w:r>
    </w:p>
    <w:p>
      <w:pPr>
        <w:numPr>
          <w:ilvl w:val="0"/>
          <w:numId w:val="1002"/>
        </w:numPr>
        <w:pStyle w:val="Compact"/>
      </w:pPr>
      <w:r>
        <w:rPr>
          <w:bCs/>
          <w:b/>
        </w:rPr>
        <w:t xml:space="preserve">Accounting Standard:</w:t>
      </w:r>
      <w:r>
        <w:t xml:space="preserve"> </w:t>
      </w:r>
      <w:r>
        <w:t xml:space="preserve">GHG Protocol Product Standard.</w:t>
      </w:r>
    </w:p>
    <w:p>
      <w:pPr>
        <w:numPr>
          <w:ilvl w:val="1"/>
          <w:numId w:val="1003"/>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both upstream and downstream).</w:t>
      </w:r>
    </w:p>
    <w:p>
      <w:pPr>
        <w:numPr>
          <w:ilvl w:val="1"/>
          <w:numId w:val="1003"/>
        </w:numPr>
        <w:pStyle w:val="Compact"/>
      </w:pPr>
      <w:r>
        <w:rPr>
          <w:bCs/>
          <w:b/>
        </w:rPr>
        <w:t xml:space="preserve">2026 LSR Update Application:</w:t>
      </w:r>
      <w:r>
        <w:t xml:space="preserve"> </w:t>
      </w:r>
      <w:r>
        <w:t xml:space="preserve">The Land Sector and Removals (LSR) Standard, effective January 1, 2027, is acknowledged. While specific land use data was not provided for this illustrative report, future iterations with primary data will integrate land-related emissions and removals, such as those from bio-based materials or land-use change, following the guidance from the LSR Standard.</w:t>
      </w:r>
    </w:p>
    <w:p>
      <w:pPr>
        <w:numPr>
          <w:ilvl w:val="1"/>
          <w:numId w:val="1003"/>
        </w:numPr>
        <w:pStyle w:val="Compact"/>
      </w:pPr>
      <w:r>
        <w:rPr>
          <w:bCs/>
          <w:b/>
        </w:rPr>
        <w:t xml:space="preserve">Scope 3 Compliance:</w:t>
      </w:r>
      <w:r>
        <w:t xml:space="preserve"> </w:t>
      </w:r>
      <w:r>
        <w:t xml:space="preserve">Diligent efforts have been made to ensure comprehensive Scope 3 reporting, targeting at least 95% coverage of required Scope 3 emissions as per 2026 requirements.</w:t>
      </w:r>
    </w:p>
    <w:p>
      <w:pPr>
        <w:numPr>
          <w:ilvl w:val="0"/>
          <w:numId w:val="1002"/>
        </w:numPr>
        <w:pStyle w:val="Compact"/>
      </w:pPr>
      <w:r>
        <w:rPr>
          <w:bCs/>
          <w:b/>
        </w:rPr>
        <w:t xml:space="preserve">Allocation:</w:t>
      </w:r>
      <w:r>
        <w:t xml:space="preserve"> </w:t>
      </w:r>
      <w:r>
        <w:t xml:space="preserve">Mass-based allocation is primarily used for shared processes where applicable, particularly for end-of-life recycling credits.</w:t>
      </w:r>
    </w:p>
    <w:p>
      <w:r>
        <w:pict>
          <v:rect style="width:0;height:1.5pt" o:hralign="center" o:hrstd="t" o:hr="t"/>
        </w:pict>
      </w:r>
    </w:p>
    <w:bookmarkEnd w:id="23"/>
    <w:bookmarkEnd w:id="24"/>
    <w:bookmarkStart w:id="30" w:name="lifecycle-mapping-data-collection"/>
    <w:p>
      <w:pPr>
        <w:pStyle w:val="Heading1"/>
      </w:pPr>
      <w:r>
        <w:t xml:space="preserve">2. Lifecycle Mapping &amp; Data Collection</w:t>
      </w:r>
    </w:p>
    <w:p>
      <w:pPr>
        <w:pStyle w:val="FirstParagraph"/>
      </w:pPr>
      <w:r>
        <w:t xml:space="preserve">The life cycle of</w:t>
      </w:r>
      <w:r>
        <w:t xml:space="preserve"> </w:t>
      </w:r>
      <w:r>
        <w:rPr>
          <w:bCs/>
          <w:b/>
        </w:rPr>
        <w:t xml:space="preserve">qhdxswphin</w:t>
      </w:r>
      <w:r>
        <w:t xml:space="preserve"> </w:t>
      </w:r>
      <w:r>
        <w:t xml:space="preserve">encompasses several stages, from raw material extraction to end-of-life. Data for these stages, where explicit parameters were provided, has been directly incorporated. For placeholder parameters, illustrative values and industry-standard emission factors from databases such as Ecoinvent/DEFRA (now DESNZ) have been utilized to demonstrate the methodology.</w:t>
      </w:r>
    </w:p>
    <w:bookmarkStart w:id="25" w:name="X8b0f19ba1818cd5e7c2e506b4faaecf193673db"/>
    <w:p>
      <w:pPr>
        <w:pStyle w:val="Heading2"/>
      </w:pPr>
      <w:r>
        <w:t xml:space="preserve">2.1. Detailed Bill of Materials (BOM) &amp; Material Inputs (Illustrative)</w:t>
      </w:r>
    </w:p>
    <w:p>
      <w:pPr>
        <w:pStyle w:val="FirstParagraph"/>
      </w:pPr>
      <w:r>
        <w:t xml:space="preserve">The detailed Bill of Materials (BOM)</w:t>
      </w:r>
      <w:r>
        <w:t xml:space="preserve"> </w:t>
      </w:r>
      <w:r>
        <w:rPr>
          <w:bCs/>
          <w:b/>
        </w:rPr>
        <w:t xml:space="preserve">(hfrgrsvw)</w:t>
      </w:r>
      <w:r>
        <w:t xml:space="preserve"> </w:t>
      </w:r>
      <w:r>
        <w:t xml:space="preserve">provides specific material quantities and associated carbon impacts. These \'Total Carbon\' values from the BOM are directly used for material impact calculation, representing upstream Scope 3 emissions. The total weight of the finished product is assumed to be approximately</w:t>
      </w:r>
      <w:r>
        <w:t xml:space="preserve"> </w:t>
      </w:r>
      <w:r>
        <w:rPr>
          <w:bCs/>
          <w:b/>
        </w:rPr>
        <w:t xml:space="preserve">1.5 kg</w:t>
      </w:r>
      <w:r>
        <w:t xml:space="preserve"> </w:t>
      </w:r>
      <w:r>
        <w:t xml:space="preserve">for subsequent calculations (e.g., transport, EoL).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0.7</w:t>
            </w:r>
          </w:p>
        </w:tc>
        <w:tc>
          <w:tcPr/>
          <w:p>
            <w:pPr>
              <w:pStyle w:val="Compact"/>
              <w:jc w:val="left"/>
            </w:pPr>
            <w:r>
              <w:t xml:space="preserve">kg</w:t>
            </w:r>
          </w:p>
        </w:tc>
        <w:tc>
          <w:tcPr/>
          <w:p>
            <w:pPr>
              <w:pStyle w:val="Compact"/>
              <w:jc w:val="left"/>
            </w:pPr>
            <w:r>
              <w:t xml:space="preserve">2.5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rPr>
                <w:bCs/>
                <w:b/>
              </w:rPr>
              <w:t xml:space="preserve">Total Material Carbon (Scope 3 - Upstream)</w:t>
            </w:r>
          </w:p>
        </w:tc>
        <w:tc>
          <w:tcPr/>
          <w:p>
            <w:pPr>
              <w:pStyle w:val="Compact"/>
              <w:jc w:val="left"/>
            </w:pPr>
            <w:r>
              <w:rPr>
                <w:bCs/>
                <w:b/>
              </w:rPr>
              <w:t xml:space="preserve">10.01</w:t>
            </w:r>
          </w:p>
        </w:tc>
      </w:tr>
    </w:tbl>
    <w:bookmarkEnd w:id="25"/>
    <w:bookmarkStart w:id="26" w:name="production-energy-inputs"/>
    <w:p>
      <w:pPr>
        <w:pStyle w:val="Heading2"/>
      </w:pPr>
      <w:r>
        <w:t xml:space="preserve">2.2. Production Energy Inputs</w:t>
      </w:r>
    </w:p>
    <w:p>
      <w:pPr>
        <w:numPr>
          <w:ilvl w:val="0"/>
          <w:numId w:val="1004"/>
        </w:numPr>
        <w:pStyle w:val="Compact"/>
      </w:pPr>
      <w:r>
        <w:rPr>
          <w:bCs/>
          <w:b/>
        </w:rPr>
        <w:t xml:space="preserve">Energy Intensity (kWh/unit):</w:t>
      </w:r>
      <w:r>
        <w:t xml:space="preserve"> </w:t>
      </w:r>
      <w:r>
        <w:t xml:space="preserve">vllndrkkjq (Illustrative: 5 kWh/unit)</w:t>
      </w:r>
    </w:p>
    <w:p>
      <w:pPr>
        <w:numPr>
          <w:ilvl w:val="0"/>
          <w:numId w:val="1004"/>
        </w:numPr>
        <w:pStyle w:val="Compact"/>
      </w:pPr>
      <w:r>
        <w:rPr>
          <w:bCs/>
          <w:b/>
        </w:rPr>
        <w:t xml:space="preserve">Renewable Energy Usage:</w:t>
      </w:r>
      <w:r>
        <w:t xml:space="preserve"> </w:t>
      </w:r>
      <w:r>
        <w:t xml:space="preserve">fnmspwnopi (Illustrative: 75%)</w:t>
      </w:r>
    </w:p>
    <w:p>
      <w:pPr>
        <w:numPr>
          <w:ilvl w:val="0"/>
          <w:numId w:val="1004"/>
        </w:numPr>
        <w:pStyle w:val="Compact"/>
      </w:pPr>
      <w:r>
        <w:rPr>
          <w:bCs/>
          <w:b/>
        </w:rPr>
        <w:t xml:space="preserve">Non-renewable energy portion:</w:t>
      </w:r>
      <w:r>
        <w:t xml:space="preserve"> </w:t>
      </w:r>
      <w:r>
        <w:t xml:space="preserve">5 kWh/unit * (1 - 0.75) = 1.25 kWh/unit</w:t>
      </w:r>
    </w:p>
    <w:p>
      <w:pPr>
        <w:numPr>
          <w:ilvl w:val="0"/>
          <w:numId w:val="1004"/>
        </w:numPr>
        <w:pStyle w:val="Compact"/>
      </w:pPr>
      <w:r>
        <w:rPr>
          <w:bCs/>
          <w:b/>
        </w:rPr>
        <w:t xml:space="preserve">Emission Factor for China Grid Mix (Illustrative):</w:t>
      </w:r>
      <w:r>
        <w:t xml:space="preserve"> </w:t>
      </w:r>
      <w:r>
        <w:t xml:space="preserve">0.7 kgCO2e/kWh (based on typical ranges for China\'s electricity grid.)</w:t>
      </w:r>
    </w:p>
    <w:bookmarkEnd w:id="26"/>
    <w:bookmarkStart w:id="27" w:name="transport-logistics"/>
    <w:p>
      <w:pPr>
        <w:pStyle w:val="Heading2"/>
      </w:pPr>
      <w:r>
        <w:t xml:space="preserve">2.3. Transport Logistics</w:t>
      </w:r>
    </w:p>
    <w:p>
      <w:pPr>
        <w:numPr>
          <w:ilvl w:val="0"/>
          <w:numId w:val="1005"/>
        </w:numPr>
        <w:pStyle w:val="Compact"/>
      </w:pPr>
      <w:r>
        <w:rPr>
          <w:bCs/>
          <w:b/>
        </w:rPr>
        <w:t xml:space="preserve">Upstream Transport (Components to China Factory):</w:t>
      </w:r>
    </w:p>
    <w:p>
      <w:pPr>
        <w:numPr>
          <w:ilvl w:val="1"/>
          <w:numId w:val="1006"/>
        </w:numPr>
        <w:pStyle w:val="Compact"/>
      </w:pPr>
      <w:r>
        <w:rPr>
          <w:bCs/>
          <w:b/>
        </w:rPr>
        <w:t xml:space="preserve">Transport Mode:</w:t>
      </w:r>
      <w:r>
        <w:t xml:space="preserve"> </w:t>
      </w:r>
      <w:r>
        <w:t xml:space="preserve">Select Mode (Illustrative: Ocean Freight for long-haul, Road (Heavy Truck) for local distribution to factory).</w:t>
      </w:r>
    </w:p>
    <w:p>
      <w:pPr>
        <w:numPr>
          <w:ilvl w:val="1"/>
          <w:numId w:val="1006"/>
        </w:numPr>
        <w:pStyle w:val="Compact"/>
      </w:pPr>
      <w:r>
        <w:rPr>
          <w:bCs/>
          <w:b/>
        </w:rPr>
        <w:t xml:space="preserve">Transport Distance (ouuqgyfven):</w:t>
      </w:r>
      <w:r>
        <w:t xml:space="preserve"> </w:t>
      </w:r>
      <w:r>
        <w:t xml:space="preserve">Illustrative: 12000 km (Ocean) + 500 km (Road).</w:t>
      </w:r>
    </w:p>
    <w:p>
      <w:pPr>
        <w:numPr>
          <w:ilvl w:val="1"/>
          <w:numId w:val="1006"/>
        </w:numPr>
        <w:pStyle w:val="Compact"/>
      </w:pPr>
      <w:r>
        <w:rPr>
          <w:bCs/>
          <w:b/>
        </w:rPr>
        <w:t xml:space="preserve">Assumed Average Component Weight for Transport:</w:t>
      </w:r>
      <w:r>
        <w:t xml:space="preserve"> </w:t>
      </w:r>
      <w:r>
        <w:t xml:space="preserve">1.5 kg (total product weight).</w:t>
      </w:r>
    </w:p>
    <w:p>
      <w:pPr>
        <w:numPr>
          <w:ilvl w:val="1"/>
          <w:numId w:val="1006"/>
        </w:numPr>
        <w:pStyle w:val="Compact"/>
      </w:pPr>
      <w:r>
        <w:rPr>
          <w:bCs/>
          <w:b/>
        </w:rPr>
        <w:t xml:space="preserve">Emission Factor - Ocean Freight (Illustrative):</w:t>
      </w:r>
      <w:r>
        <w:t xml:space="preserve"> </w:t>
      </w:r>
      <w:r>
        <w:t xml:space="preserve">0.016 kgCO2e/tonne-km (Representative for container ships.)</w:t>
      </w:r>
    </w:p>
    <w:p>
      <w:pPr>
        <w:numPr>
          <w:ilvl w:val="1"/>
          <w:numId w:val="1006"/>
        </w:numPr>
        <w:pStyle w:val="Compact"/>
      </w:pPr>
      <w:r>
        <w:rPr>
          <w:bCs/>
          <w:b/>
        </w:rPr>
        <w:t xml:space="preserve">Emission Factor - Road Freight (Heavy Truck, Illustrative):</w:t>
      </w:r>
      <w:r>
        <w:t xml:space="preserve"> </w:t>
      </w:r>
      <w:r>
        <w:t xml:space="preserve">0.08 kgCO2e/tonne-km (Representative for heavy goods vehicles.)</w:t>
      </w:r>
    </w:p>
    <w:p>
      <w:pPr>
        <w:numPr>
          <w:ilvl w:val="0"/>
          <w:numId w:val="1005"/>
        </w:numPr>
        <w:pStyle w:val="Compact"/>
      </w:pPr>
      <w:r>
        <w:rPr>
          <w:bCs/>
          <w:b/>
        </w:rPr>
        <w:t xml:space="preserve">Downstream Last-Mile Delivery (Finished product to customer):</w:t>
      </w:r>
    </w:p>
    <w:p>
      <w:pPr>
        <w:numPr>
          <w:ilvl w:val="1"/>
          <w:numId w:val="1007"/>
        </w:numPr>
        <w:pStyle w:val="Compact"/>
      </w:pPr>
      <w:r>
        <w:rPr>
          <w:bCs/>
          <w:b/>
        </w:rPr>
        <w:t xml:space="preserve">Last-Mile Delivery Channel (Delivery Type):</w:t>
      </w:r>
      <w:r>
        <w:t xml:space="preserve"> </w:t>
      </w:r>
      <w:r>
        <w:t xml:space="preserve">Illustrative: Road (Light Van).</w:t>
      </w:r>
    </w:p>
    <w:p>
      <w:pPr>
        <w:numPr>
          <w:ilvl w:val="1"/>
          <w:numId w:val="1007"/>
        </w:numPr>
        <w:pStyle w:val="Compact"/>
      </w:pPr>
      <w:r>
        <w:rPr>
          <w:bCs/>
          <w:b/>
        </w:rPr>
        <w:t xml:space="preserve">Last-Mile Distance (Illustrative):</w:t>
      </w:r>
      <w:r>
        <w:t xml:space="preserve"> </w:t>
      </w:r>
      <w:r>
        <w:t xml:space="preserve">500 km (e.g., within Europe from distribution hub).</w:t>
      </w:r>
    </w:p>
    <w:p>
      <w:pPr>
        <w:numPr>
          <w:ilvl w:val="1"/>
          <w:numId w:val="1007"/>
        </w:numPr>
        <w:pStyle w:val="Compact"/>
      </w:pPr>
      <w:r>
        <w:rPr>
          <w:bCs/>
          <w:b/>
        </w:rPr>
        <w:t xml:space="preserve">Product Weight:</w:t>
      </w:r>
      <w:r>
        <w:t xml:space="preserve"> </w:t>
      </w:r>
      <w:r>
        <w:t xml:space="preserve">1.5 kg/unit.</w:t>
      </w:r>
    </w:p>
    <w:p>
      <w:pPr>
        <w:numPr>
          <w:ilvl w:val="1"/>
          <w:numId w:val="1007"/>
        </w:numPr>
        <w:pStyle w:val="Compact"/>
      </w:pPr>
      <w:r>
        <w:rPr>
          <w:bCs/>
          <w:b/>
        </w:rPr>
        <w:t xml:space="preserve">Emission Factor - Road Freight (Light Van, Illustrative):</w:t>
      </w:r>
      <w:r>
        <w:t xml:space="preserve"> </w:t>
      </w:r>
      <w:r>
        <w:t xml:space="preserve">0.15 kgCO2e/tonne-km (Representative for light commercial vehicles.)</w:t>
      </w:r>
    </w:p>
    <w:bookmarkEnd w:id="27"/>
    <w:bookmarkStart w:id="28" w:name="use-phase-data"/>
    <w:p>
      <w:pPr>
        <w:pStyle w:val="Heading2"/>
      </w:pPr>
      <w:r>
        <w:t xml:space="preserve">2.4. Use Phase Data</w:t>
      </w:r>
    </w:p>
    <w:p>
      <w:pPr>
        <w:numPr>
          <w:ilvl w:val="0"/>
          <w:numId w:val="1008"/>
        </w:numPr>
        <w:pStyle w:val="Compact"/>
      </w:pPr>
      <w:r>
        <w:rPr>
          <w:bCs/>
          <w:b/>
        </w:rPr>
        <w:t xml:space="preserve">Product Lifespan:</w:t>
      </w:r>
      <w:r>
        <w:t xml:space="preserve"> </w:t>
      </w:r>
      <w:r>
        <w:t xml:space="preserve">wzqytzzftt (Illustrative: 5 years)</w:t>
      </w:r>
    </w:p>
    <w:p>
      <w:pPr>
        <w:numPr>
          <w:ilvl w:val="0"/>
          <w:numId w:val="1008"/>
        </w:numPr>
        <w:pStyle w:val="Compact"/>
      </w:pPr>
      <w:r>
        <w:rPr>
          <w:bCs/>
          <w:b/>
        </w:rPr>
        <w:t xml:space="preserve">Energy Consumption in Use:</w:t>
      </w:r>
      <w:r>
        <w:t xml:space="preserve"> </w:t>
      </w:r>
      <w:r>
        <w:t xml:space="preserve">mwowllfslu (Illustrative: 0.1 kWh/day)</w:t>
      </w:r>
    </w:p>
    <w:p>
      <w:pPr>
        <w:numPr>
          <w:ilvl w:val="0"/>
          <w:numId w:val="1008"/>
        </w:numPr>
        <w:pStyle w:val="Compact"/>
      </w:pPr>
      <w:r>
        <w:rPr>
          <w:bCs/>
          <w:b/>
        </w:rPr>
        <w:t xml:space="preserve">Emission Factor for European Average Grid Mix (Illustrative):</w:t>
      </w:r>
      <w:r>
        <w:t xml:space="preserve"> </w:t>
      </w:r>
      <w:r>
        <w:t xml:space="preserve">0.3 kgCO2e/kWh (Based on EU average carbon intensity.)</w:t>
      </w:r>
    </w:p>
    <w:bookmarkEnd w:id="28"/>
    <w:bookmarkStart w:id="29" w:name="end-of-life-eol-scenarios"/>
    <w:p>
      <w:pPr>
        <w:pStyle w:val="Heading2"/>
      </w:pPr>
      <w:r>
        <w:t xml:space="preserve">2.5. End-of-Life (EoL) Scenarios</w:t>
      </w:r>
    </w:p>
    <w:p>
      <w:pPr>
        <w:numPr>
          <w:ilvl w:val="0"/>
          <w:numId w:val="1009"/>
        </w:numPr>
        <w:pStyle w:val="Compact"/>
      </w:pPr>
      <w:r>
        <w:rPr>
          <w:bCs/>
          <w:b/>
        </w:rPr>
        <w:t xml:space="preserve">Recyclability Percentage:</w:t>
      </w:r>
      <w:r>
        <w:t xml:space="preserve"> </w:t>
      </w:r>
      <w:r>
        <w:t xml:space="preserve">idsxvedrsi (Illustrative: 60%)</w:t>
      </w:r>
    </w:p>
    <w:p>
      <w:pPr>
        <w:numPr>
          <w:ilvl w:val="0"/>
          <w:numId w:val="1009"/>
        </w:numPr>
        <w:pStyle w:val="Compact"/>
      </w:pPr>
      <w:r>
        <w:rPr>
          <w:bCs/>
          <w:b/>
        </w:rPr>
        <w:t xml:space="preserve">Circular/Take-back Programs:</w:t>
      </w:r>
      <w:r>
        <w:t xml:space="preserve"> </w:t>
      </w:r>
      <w:r>
        <w:t xml:space="preserve">kktunkugif (Illustrative: Yes, established product take-back program.)</w:t>
      </w:r>
    </w:p>
    <w:p>
      <w:pPr>
        <w:numPr>
          <w:ilvl w:val="0"/>
          <w:numId w:val="1009"/>
        </w:numPr>
        <w:pStyle w:val="Compact"/>
      </w:pPr>
      <w:r>
        <w:rPr>
          <w:bCs/>
          <w:b/>
        </w:rPr>
        <w:t xml:space="preserve">Product Weight for EoL:</w:t>
      </w:r>
      <w:r>
        <w:t xml:space="preserve"> </w:t>
      </w:r>
      <w:r>
        <w:t xml:space="preserve">1.5 kg/unit</w:t>
      </w:r>
    </w:p>
    <w:p>
      <w:pPr>
        <w:numPr>
          <w:ilvl w:val="0"/>
          <w:numId w:val="1009"/>
        </w:numPr>
        <w:pStyle w:val="Compact"/>
      </w:pPr>
      <w:r>
        <w:rPr>
          <w:bCs/>
          <w:b/>
        </w:rPr>
        <w:t xml:space="preserve">Recycling Credit (Illustrative Average):</w:t>
      </w:r>
      <w:r>
        <w:t xml:space="preserve"> </w:t>
      </w:r>
      <w:r>
        <w:t xml:space="preserve">-1.5 kgCO2e/kg (credit for avoided virgin material production, an illustrative industry average).</w:t>
      </w:r>
    </w:p>
    <w:p>
      <w:pPr>
        <w:numPr>
          <w:ilvl w:val="0"/>
          <w:numId w:val="1009"/>
        </w:numPr>
        <w:pStyle w:val="Compact"/>
      </w:pPr>
      <w:r>
        <w:rPr>
          <w:bCs/>
          <w:b/>
        </w:rPr>
        <w:t xml:space="preserve">Landfill Emission (Illustrative Average):</w:t>
      </w:r>
      <w:r>
        <w:t xml:space="preserve"> </w:t>
      </w:r>
      <w:r>
        <w:t xml:space="preserve">0.5 kgCO2e/kg (Representative for landfill emissions.)</w:t>
      </w:r>
    </w:p>
    <w:p>
      <w:r>
        <w:pict>
          <v:rect style="width:0;height:1.5pt" o:hralign="center" o:hrstd="t" o:hr="t"/>
        </w:pict>
      </w:r>
    </w:p>
    <w:bookmarkEnd w:id="29"/>
    <w:bookmarkEnd w:id="30"/>
    <w:bookmarkStart w:id="42" w:name="Xdd1c2ba429305467bad58a0828410d9d0fce25c"/>
    <w:p>
      <w:pPr>
        <w:pStyle w:val="Heading1"/>
      </w:pPr>
      <w:r>
        <w:t xml:space="preserve">3. Emissions Calculation (Activity * Emission Factor = CO2e)</w:t>
      </w:r>
    </w:p>
    <w:p>
      <w:pPr>
        <w:pStyle w:val="FirstParagraph"/>
      </w:pPr>
      <w:r>
        <w:t xml:space="preserve">The following section details the calculation of GHG emissions for each life cycle stage, categorized according to the GHG Protocol Scopes. All numerical results presented here are illustrative due to the use of placeholder input data.</w:t>
      </w:r>
    </w:p>
    <w:bookmarkStart w:id="31" w:name="scope-1-emissions-direct-emissions"/>
    <w:p>
      <w:pPr>
        <w:pStyle w:val="Heading2"/>
      </w:pPr>
      <w:r>
        <w:t xml:space="preserve">3.1. Scope 1 Emissions (Direct Emissions)</w:t>
      </w:r>
    </w:p>
    <w:p>
      <w:pPr>
        <w:pStyle w:val="FirstParagraph"/>
      </w:pPr>
      <w:r>
        <w:t xml:space="preserve">For a typical manufacturing process at a factory gate system boundary, Scope 1 emissions primarily arise from on-site combustion of fuels (e.g., for heating, vehicles owned by the company) or direct process emissions not covered by material emission factors. Given the system boundary for a PCF and the provided parameters, direct fuel combustion emissions at the factory are assumed to be negligible or implicitly accounted for within the "Process" emission factors of the BOM materials (e.g., if a material\'s EF already includes direct process emissions from its specific manufacturing process). Therefore, for this specific product, no significant Scope 1 emissions are separately calculated based on the provided parameters.</w:t>
      </w:r>
    </w:p>
    <w:p>
      <w:pPr>
        <w:pStyle w:val="BodyText"/>
      </w:pPr>
      <w:r>
        <w:rPr>
          <w:bCs/>
          <w:b/>
        </w:rPr>
        <w:t xml:space="preserve">Total Illustrative Scope 1 Emissions: 0.00 kgCO2e</w:t>
      </w:r>
    </w:p>
    <w:bookmarkEnd w:id="31"/>
    <w:bookmarkStart w:id="32" w:name="scope-2-emissions-purchased-energy"/>
    <w:p>
      <w:pPr>
        <w:pStyle w:val="Heading2"/>
      </w:pPr>
      <w:r>
        <w:t xml:space="preserve">3.2. Scope 2 Emissions (Purchased Energy)</w:t>
      </w:r>
    </w:p>
    <w:p>
      <w:pPr>
        <w:pStyle w:val="FirstParagraph"/>
      </w:pPr>
      <w:r>
        <w:t xml:space="preserve">Scope 2 emissions account for the indirect emissions from the generation of purchased electricity or heat consumed at the manufacturing facility.</w:t>
      </w:r>
    </w:p>
    <w:p>
      <w:pPr>
        <w:numPr>
          <w:ilvl w:val="0"/>
          <w:numId w:val="1010"/>
        </w:numPr>
        <w:pStyle w:val="Compact"/>
      </w:pPr>
      <w:r>
        <w:t xml:space="preserve">Energy Intensity: 5 kWh/unit</w:t>
      </w:r>
    </w:p>
    <w:p>
      <w:pPr>
        <w:numPr>
          <w:ilvl w:val="0"/>
          <w:numId w:val="1010"/>
        </w:numPr>
        <w:pStyle w:val="Compact"/>
      </w:pPr>
      <w:r>
        <w:t xml:space="preserve">Renewable Energy Usage: 75%</w:t>
      </w:r>
    </w:p>
    <w:p>
      <w:pPr>
        <w:numPr>
          <w:ilvl w:val="0"/>
          <w:numId w:val="1010"/>
        </w:numPr>
        <w:pStyle w:val="Compact"/>
      </w:pPr>
      <w:r>
        <w:t xml:space="preserve">Non-renewable energy portion: 5 kWh/unit * (1 - 0.75) = 1.25 kWh/unit</w:t>
      </w:r>
    </w:p>
    <w:p>
      <w:pPr>
        <w:numPr>
          <w:ilvl w:val="0"/>
          <w:numId w:val="1010"/>
        </w:numPr>
        <w:pStyle w:val="Compact"/>
      </w:pPr>
      <w:r>
        <w:t xml:space="preserve">China Grid Mix Emission Factor: 0.7 kgCO2e/kWh</w:t>
      </w:r>
    </w:p>
    <w:p>
      <w:pPr>
        <w:numPr>
          <w:ilvl w:val="0"/>
          <w:numId w:val="1010"/>
        </w:numPr>
        <w:pStyle w:val="Compact"/>
      </w:pPr>
      <w:r>
        <w:rPr>
          <w:bCs/>
          <w:b/>
        </w:rPr>
        <w:t xml:space="preserve">Calculation:</w:t>
      </w:r>
      <w:r>
        <w:t xml:space="preserve"> </w:t>
      </w:r>
      <w:r>
        <w:t xml:space="preserve">1.25 kWh/unit * 0.7 kgCO2e/kWh = 0.875 kgCO2e/unit</w:t>
      </w:r>
    </w:p>
    <w:p>
      <w:pPr>
        <w:pStyle w:val="FirstParagraph"/>
      </w:pPr>
      <w:r>
        <w:rPr>
          <w:bCs/>
          <w:b/>
        </w:rPr>
        <w:t xml:space="preserve">Total Illustrative Scope 2 Emissions: 0.88 kgCO2e</w:t>
      </w:r>
    </w:p>
    <w:bookmarkEnd w:id="32"/>
    <w:bookmarkStart w:id="40" w:name="scope-3-emissions-value-chain-emissions"/>
    <w:p>
      <w:pPr>
        <w:pStyle w:val="Heading2"/>
      </w:pPr>
      <w:r>
        <w:t xml:space="preserve">3.3. Scope 3 Emissions (Value Chain Emissions)</w:t>
      </w:r>
    </w:p>
    <w:p>
      <w:pPr>
        <w:pStyle w:val="FirstParagraph"/>
      </w:pPr>
      <w:r>
        <w:t xml:space="preserve">Scope 3 emissions represent the most substantial portion of a product\'s carbon footprint, encompassing both upstream (e.g., raw materials, inbound logistics) and downstream (e.g., outbound logistics, use phase, end-of-life) activities.</w:t>
      </w:r>
    </w:p>
    <w:bookmarkStart w:id="35" w:name="upstream-emissions-cradle-to-gate"/>
    <w:p>
      <w:pPr>
        <w:pStyle w:val="Heading3"/>
      </w:pPr>
      <w:r>
        <w:t xml:space="preserve">3.3.1. Upstream Emissions (Cradle-to-Gate)</w:t>
      </w:r>
    </w:p>
    <w:bookmarkStart w:id="33" w:name="X004943f425e1c52002be4be28025238430a4917"/>
    <w:p>
      <w:pPr>
        <w:pStyle w:val="Heading4"/>
      </w:pPr>
      <w:r>
        <w:t xml:space="preserve">Material Acquisition &amp; Production (Category 1: Purchased Goods and Services)</w:t>
      </w:r>
    </w:p>
    <w:p>
      <w:pPr>
        <w:pStyle w:val="FirstParagraph"/>
      </w:pPr>
      <w:r>
        <w:t xml:space="preserve">These emissions are derived directly from the \'Total Carbon\' values provided in the illustrative Bill of Materials (BOM).</w:t>
      </w:r>
    </w:p>
    <w:p>
      <w:pPr>
        <w:numPr>
          <w:ilvl w:val="0"/>
          <w:numId w:val="1011"/>
        </w:numPr>
        <w:pStyle w:val="Compact"/>
      </w:pPr>
      <w:r>
        <w:rPr>
          <w:bCs/>
          <w:b/>
        </w:rPr>
        <w:t xml:space="preserve">Total Illustrative Material Carbon: 10.01 kgCO2e</w:t>
      </w:r>
      <w:r>
        <w:t xml:space="preserve"> </w:t>
      </w:r>
      <w:r>
        <w:t xml:space="preserve">(from BOM table)</w:t>
      </w:r>
    </w:p>
    <w:bookmarkEnd w:id="33"/>
    <w:bookmarkStart w:id="34" w:name="X15abc563d1c8d0e02fa3673177e7f4580a9fa35"/>
    <w:p>
      <w:pPr>
        <w:pStyle w:val="Heading4"/>
      </w:pPr>
      <w:r>
        <w:t xml:space="preserve">Upstream Transport (Category 4: Upstream Transportation and Distribution)</w:t>
      </w:r>
    </w:p>
    <w:p>
      <w:pPr>
        <w:pStyle w:val="FirstParagraph"/>
      </w:pPr>
      <w:r>
        <w:t xml:space="preserve">This includes the transport of raw materials and components to the manufacturing facility in China.</w:t>
      </w:r>
    </w:p>
    <w:p>
      <w:pPr>
        <w:numPr>
          <w:ilvl w:val="0"/>
          <w:numId w:val="1012"/>
        </w:numPr>
        <w:pStyle w:val="Compact"/>
      </w:pPr>
      <w:r>
        <w:rPr>
          <w:bCs/>
          <w:b/>
        </w:rPr>
        <w:t xml:space="preserve">Ocean Freight (Main Transport):</w:t>
      </w:r>
    </w:p>
    <w:p>
      <w:pPr>
        <w:numPr>
          <w:ilvl w:val="1"/>
          <w:numId w:val="1013"/>
        </w:numPr>
        <w:pStyle w:val="Compact"/>
      </w:pPr>
      <w:r>
        <w:t xml:space="preserve">Product/Component Weight: 1.5 kg = 0.0015 tonnes</w:t>
      </w:r>
    </w:p>
    <w:p>
      <w:pPr>
        <w:numPr>
          <w:ilvl w:val="1"/>
          <w:numId w:val="1013"/>
        </w:numPr>
        <w:pStyle w:val="Compact"/>
      </w:pPr>
      <w:r>
        <w:t xml:space="preserve">Distance: 12000 km</w:t>
      </w:r>
    </w:p>
    <w:p>
      <w:pPr>
        <w:numPr>
          <w:ilvl w:val="1"/>
          <w:numId w:val="1013"/>
        </w:numPr>
        <w:pStyle w:val="Compact"/>
      </w:pPr>
      <w:r>
        <w:t xml:space="preserve">Emission Factor: 0.016 kgCO2e/tonne-km</w:t>
      </w:r>
    </w:p>
    <w:p>
      <w:pPr>
        <w:numPr>
          <w:ilvl w:val="1"/>
          <w:numId w:val="1013"/>
        </w:numPr>
        <w:pStyle w:val="Compact"/>
      </w:pPr>
      <w:r>
        <w:rPr>
          <w:bCs/>
          <w:b/>
        </w:rPr>
        <w:t xml:space="preserve">Calculation:</w:t>
      </w:r>
      <w:r>
        <w:t xml:space="preserve"> </w:t>
      </w:r>
      <w:r>
        <w:t xml:space="preserve">0.0015 tonnes * 12000 km * 0.016 kgCO2e/tonne-km = 0.288 kgCO2e</w:t>
      </w:r>
    </w:p>
    <w:p>
      <w:pPr>
        <w:numPr>
          <w:ilvl w:val="0"/>
          <w:numId w:val="1012"/>
        </w:numPr>
        <w:pStyle w:val="Compact"/>
      </w:pPr>
      <w:r>
        <w:rPr>
          <w:bCs/>
          <w:b/>
        </w:rPr>
        <w:t xml:space="preserve">Road Freight (Local distribution to factory in China):</w:t>
      </w:r>
    </w:p>
    <w:p>
      <w:pPr>
        <w:numPr>
          <w:ilvl w:val="1"/>
          <w:numId w:val="1014"/>
        </w:numPr>
        <w:pStyle w:val="Compact"/>
      </w:pPr>
      <w:r>
        <w:t xml:space="preserve">Product/Component Weight: 1.5 kg = 0.0015 tonnes</w:t>
      </w:r>
    </w:p>
    <w:p>
      <w:pPr>
        <w:numPr>
          <w:ilvl w:val="1"/>
          <w:numId w:val="1014"/>
        </w:numPr>
        <w:pStyle w:val="Compact"/>
      </w:pPr>
      <w:r>
        <w:t xml:space="preserve">Distance: 500 km</w:t>
      </w:r>
    </w:p>
    <w:p>
      <w:pPr>
        <w:numPr>
          <w:ilvl w:val="1"/>
          <w:numId w:val="1014"/>
        </w:numPr>
        <w:pStyle w:val="Compact"/>
      </w:pPr>
      <w:r>
        <w:t xml:space="preserve">Emission Factor (Heavy Truck): 0.08 kgCO2e/tonne-km</w:t>
      </w:r>
    </w:p>
    <w:p>
      <w:pPr>
        <w:numPr>
          <w:ilvl w:val="1"/>
          <w:numId w:val="1014"/>
        </w:numPr>
        <w:pStyle w:val="Compact"/>
      </w:pPr>
      <w:r>
        <w:rPr>
          <w:bCs/>
          <w:b/>
        </w:rPr>
        <w:t xml:space="preserve">Calculation:</w:t>
      </w:r>
      <w:r>
        <w:t xml:space="preserve"> </w:t>
      </w:r>
      <w:r>
        <w:t xml:space="preserve">0.0015 tonnes * 500 km * 0.08 kgCO2e/tonne-km = 0.06 kgCO2e</w:t>
      </w:r>
    </w:p>
    <w:p>
      <w:pPr>
        <w:pStyle w:val="FirstParagraph"/>
      </w:pPr>
      <w:r>
        <w:rPr>
          <w:bCs/>
          <w:b/>
        </w:rPr>
        <w:t xml:space="preserve">Total Illustrative Upstream Transport Emissions: 0.288 + 0.06 = 0.35 kgCO2e</w:t>
      </w:r>
    </w:p>
    <w:bookmarkEnd w:id="34"/>
    <w:bookmarkEnd w:id="35"/>
    <w:bookmarkStart w:id="39" w:name="downstream-emissions-gate-to-grave"/>
    <w:p>
      <w:pPr>
        <w:pStyle w:val="Heading3"/>
      </w:pPr>
      <w:r>
        <w:t xml:space="preserve">3.3.2. Downstream Emissions (Gate-to-Grave)</w:t>
      </w:r>
    </w:p>
    <w:bookmarkStart w:id="36" w:name="X505238ac7cc061534784adec68b6be1dfe81358"/>
    <w:p>
      <w:pPr>
        <w:pStyle w:val="Heading4"/>
      </w:pPr>
      <w:r>
        <w:t xml:space="preserve">Downstream Transport (Category 9: Downstream Transportation and Distribution)</w:t>
      </w:r>
    </w:p>
    <w:p>
      <w:pPr>
        <w:pStyle w:val="FirstParagraph"/>
      </w:pPr>
      <w:r>
        <w:t xml:space="preserve">This covers the last-mile delivery of the finished product to the customer.</w:t>
      </w:r>
    </w:p>
    <w:p>
      <w:pPr>
        <w:numPr>
          <w:ilvl w:val="0"/>
          <w:numId w:val="1015"/>
        </w:numPr>
        <w:pStyle w:val="Compact"/>
      </w:pPr>
      <w:r>
        <w:rPr>
          <w:bCs/>
          <w:b/>
        </w:rPr>
        <w:t xml:space="preserve">Last-Mile Delivery (Road - Light Van):</w:t>
      </w:r>
    </w:p>
    <w:p>
      <w:pPr>
        <w:numPr>
          <w:ilvl w:val="1"/>
          <w:numId w:val="1016"/>
        </w:numPr>
        <w:pStyle w:val="Compact"/>
      </w:pPr>
      <w:r>
        <w:t xml:space="preserve">Product Weight: 1.5 kg = 0.0015 tonnes</w:t>
      </w:r>
    </w:p>
    <w:p>
      <w:pPr>
        <w:numPr>
          <w:ilvl w:val="1"/>
          <w:numId w:val="1016"/>
        </w:numPr>
        <w:pStyle w:val="Compact"/>
      </w:pPr>
      <w:r>
        <w:t xml:space="preserve">Distance: 500 km</w:t>
      </w:r>
    </w:p>
    <w:p>
      <w:pPr>
        <w:numPr>
          <w:ilvl w:val="1"/>
          <w:numId w:val="1016"/>
        </w:numPr>
        <w:pStyle w:val="Compact"/>
      </w:pPr>
      <w:r>
        <w:t xml:space="preserve">Emission Factor (Light Van): 0.15 kgCO2e/tonne-km</w:t>
      </w:r>
    </w:p>
    <w:p>
      <w:pPr>
        <w:numPr>
          <w:ilvl w:val="1"/>
          <w:numId w:val="1016"/>
        </w:numPr>
        <w:pStyle w:val="Compact"/>
      </w:pPr>
      <w:r>
        <w:rPr>
          <w:bCs/>
          <w:b/>
        </w:rPr>
        <w:t xml:space="preserve">Calculation:</w:t>
      </w:r>
      <w:r>
        <w:t xml:space="preserve"> </w:t>
      </w:r>
      <w:r>
        <w:t xml:space="preserve">0.0015 tonnes * 500 km * 0.15 kgCO2e/tonne-km = 0.1125 kgCO2e</w:t>
      </w:r>
    </w:p>
    <w:p>
      <w:pPr>
        <w:pStyle w:val="FirstParagraph"/>
      </w:pPr>
      <w:r>
        <w:rPr>
          <w:bCs/>
          <w:b/>
        </w:rPr>
        <w:t xml:space="preserve">Total Illustrative Downstream Transport Emissions: 0.11 kgCO2e</w:t>
      </w:r>
    </w:p>
    <w:bookmarkEnd w:id="36"/>
    <w:bookmarkStart w:id="37" w:name="X8d12bf184da61ed1b86eb215c14cb92288143a6"/>
    <w:p>
      <w:pPr>
        <w:pStyle w:val="Heading4"/>
      </w:pPr>
      <w:r>
        <w:t xml:space="preserve">Use Phase (Category 11: Use of Sold Products)</w:t>
      </w:r>
    </w:p>
    <w:p>
      <w:pPr>
        <w:pStyle w:val="FirstParagraph"/>
      </w:pPr>
      <w:r>
        <w:t xml:space="preserve">Emissions from the energy consumed by the product during its lifespan.</w:t>
      </w:r>
    </w:p>
    <w:p>
      <w:pPr>
        <w:numPr>
          <w:ilvl w:val="0"/>
          <w:numId w:val="1017"/>
        </w:numPr>
        <w:pStyle w:val="Compact"/>
      </w:pPr>
      <w:r>
        <w:t xml:space="preserve">Product Lifespan: 5 years = 1825 days (5 * 365)</w:t>
      </w:r>
    </w:p>
    <w:p>
      <w:pPr>
        <w:numPr>
          <w:ilvl w:val="0"/>
          <w:numId w:val="1017"/>
        </w:numPr>
        <w:pStyle w:val="Compact"/>
      </w:pPr>
      <w:r>
        <w:t xml:space="preserve">Energy Consumption: 0.1 kWh/day</w:t>
      </w:r>
    </w:p>
    <w:p>
      <w:pPr>
        <w:numPr>
          <w:ilvl w:val="0"/>
          <w:numId w:val="1017"/>
        </w:numPr>
        <w:pStyle w:val="Compact"/>
      </w:pPr>
      <w:r>
        <w:t xml:space="preserve">Total Energy Consumption over Lifespan: 0.1 kWh/day * 1825 days = 182.5 kWh</w:t>
      </w:r>
    </w:p>
    <w:p>
      <w:pPr>
        <w:numPr>
          <w:ilvl w:val="0"/>
          <w:numId w:val="1017"/>
        </w:numPr>
        <w:pStyle w:val="Compact"/>
      </w:pPr>
      <w:r>
        <w:t xml:space="preserve">European Average Grid Mix Emission Factor: 0.3 kgCO2e/kWh</w:t>
      </w:r>
    </w:p>
    <w:p>
      <w:pPr>
        <w:numPr>
          <w:ilvl w:val="0"/>
          <w:numId w:val="1017"/>
        </w:numPr>
        <w:pStyle w:val="Compact"/>
      </w:pPr>
      <w:r>
        <w:rPr>
          <w:bCs/>
          <w:b/>
        </w:rPr>
        <w:t xml:space="preserve">Calculation:</w:t>
      </w:r>
      <w:r>
        <w:t xml:space="preserve"> </w:t>
      </w:r>
      <w:r>
        <w:t xml:space="preserve">182.5 kWh * 0.3 kgCO2e/kWh = 54.75 kgCO2e</w:t>
      </w:r>
    </w:p>
    <w:p>
      <w:pPr>
        <w:pStyle w:val="FirstParagraph"/>
      </w:pPr>
      <w:r>
        <w:rPr>
          <w:bCs/>
          <w:b/>
        </w:rPr>
        <w:t xml:space="preserve">Total Illustrative Use Phase Emissions: 54.75 kgCO2e</w:t>
      </w:r>
    </w:p>
    <w:bookmarkEnd w:id="37"/>
    <w:bookmarkStart w:id="38" w:name="Xc4e5496ea9c23c4fd5f1a2af076b5b92fcc73fd"/>
    <w:p>
      <w:pPr>
        <w:pStyle w:val="Heading4"/>
      </w:pPr>
      <w:r>
        <w:t xml:space="preserve">End-of-Life Treatment (Category 12: End-of-Life Treatment of Sold Products)</w:t>
      </w:r>
    </w:p>
    <w:p>
      <w:pPr>
        <w:pStyle w:val="FirstParagraph"/>
      </w:pPr>
      <w:r>
        <w:t xml:space="preserve">Emissions and potential credits associated with the disposal and recycling of the product.</w:t>
      </w:r>
    </w:p>
    <w:p>
      <w:pPr>
        <w:numPr>
          <w:ilvl w:val="0"/>
          <w:numId w:val="1018"/>
        </w:numPr>
        <w:pStyle w:val="Compact"/>
      </w:pPr>
      <w:r>
        <w:t xml:space="preserve">Product Weight: 1.5 kg</w:t>
      </w:r>
    </w:p>
    <w:p>
      <w:pPr>
        <w:numPr>
          <w:ilvl w:val="0"/>
          <w:numId w:val="1018"/>
        </w:numPr>
        <w:pStyle w:val="Compact"/>
      </w:pPr>
      <w:r>
        <w:t xml:space="preserve">Recyclability Percentage: 60%</w:t>
      </w:r>
    </w:p>
    <w:p>
      <w:pPr>
        <w:numPr>
          <w:ilvl w:val="0"/>
          <w:numId w:val="1018"/>
        </w:numPr>
        <w:pStyle w:val="Compact"/>
      </w:pPr>
      <w:r>
        <w:t xml:space="preserve">Recycled Portion: 1.5 kg * 0.60 = 0.9 kg</w:t>
      </w:r>
    </w:p>
    <w:p>
      <w:pPr>
        <w:numPr>
          <w:ilvl w:val="0"/>
          <w:numId w:val="1018"/>
        </w:numPr>
        <w:pStyle w:val="Compact"/>
      </w:pPr>
      <w:r>
        <w:t xml:space="preserve">Disposed Portion: 1.5 kg * (1 - 0.60) = 0.6 kg</w:t>
      </w:r>
    </w:p>
    <w:p>
      <w:pPr>
        <w:numPr>
          <w:ilvl w:val="0"/>
          <w:numId w:val="1018"/>
        </w:numPr>
        <w:pStyle w:val="Compact"/>
      </w:pPr>
      <w:r>
        <w:rPr>
          <w:bCs/>
          <w:b/>
        </w:rPr>
        <w:t xml:space="preserve">Recycling Credit:</w:t>
      </w:r>
      <w:r>
        <w:t xml:space="preserve"> </w:t>
      </w:r>
      <w:r>
        <w:t xml:space="preserve">0.9 kg * (-1.5 kgCO2e/kg) = -1.35 kgCO2e</w:t>
      </w:r>
    </w:p>
    <w:p>
      <w:pPr>
        <w:numPr>
          <w:ilvl w:val="0"/>
          <w:numId w:val="1018"/>
        </w:numPr>
        <w:pStyle w:val="Compact"/>
      </w:pPr>
      <w:r>
        <w:rPr>
          <w:bCs/>
          <w:b/>
        </w:rPr>
        <w:t xml:space="preserve">Landfill Emission:</w:t>
      </w:r>
      <w:r>
        <w:t xml:space="preserve"> </w:t>
      </w:r>
      <w:r>
        <w:t xml:space="preserve">0.6 kg * 0.5 kgCO2e/kg = 0.30 kgCO2e</w:t>
      </w:r>
    </w:p>
    <w:p>
      <w:pPr>
        <w:numPr>
          <w:ilvl w:val="0"/>
          <w:numId w:val="1018"/>
        </w:numPr>
        <w:pStyle w:val="Compact"/>
      </w:pPr>
      <w:r>
        <w:rPr>
          <w:bCs/>
          <w:b/>
        </w:rPr>
        <w:t xml:space="preserve">Circular/Take-back Programs:</w:t>
      </w:r>
      <w:r>
        <w:t xml:space="preserve"> </w:t>
      </w:r>
      <w:r>
        <w:t xml:space="preserve">The existence of "kktunkugif" (established product take-back program) supports higher actual recycling rates and potentially lower landfill emissions than default scenarios. This program helps ensure materials are valorized, though quantitative benefits are included in the recycling percentage.</w:t>
      </w:r>
    </w:p>
    <w:p>
      <w:pPr>
        <w:numPr>
          <w:ilvl w:val="0"/>
          <w:numId w:val="1018"/>
        </w:numPr>
        <w:pStyle w:val="Compact"/>
      </w:pPr>
      <w:r>
        <w:rPr>
          <w:bCs/>
          <w:b/>
        </w:rPr>
        <w:t xml:space="preserve">Calculation:</w:t>
      </w:r>
      <w:r>
        <w:t xml:space="preserve"> </w:t>
      </w:r>
      <w:r>
        <w:t xml:space="preserve">-1.35 kgCO2e + 0.30 kgCO2e = -1.05 kgCO2e (Net credit)</w:t>
      </w:r>
    </w:p>
    <w:p>
      <w:pPr>
        <w:pStyle w:val="FirstParagraph"/>
      </w:pPr>
      <w:r>
        <w:rPr>
          <w:bCs/>
          <w:b/>
        </w:rPr>
        <w:t xml:space="preserve">Total Illustrative End-of-Life Emissions: -1.05 kgCO2e</w:t>
      </w:r>
    </w:p>
    <w:bookmarkEnd w:id="38"/>
    <w:bookmarkEnd w:id="39"/>
    <w:bookmarkEnd w:id="40"/>
    <w:bookmarkStart w:id="41" w:name="Xacf18fa8957e1f046de293c55a55509dc5caf5b"/>
    <w:p>
      <w:pPr>
        <w:pStyle w:val="Heading2"/>
      </w:pPr>
      <w:r>
        <w:t xml:space="preserve">Summary of Illustrative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jc w:val="left"/>
            </w:pPr>
            <w:r>
              <w:t xml:space="preserve">0.88</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10.01</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0.35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54.75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-1.05</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64.94</w:t>
            </w:r>
          </w:p>
        </w:tc>
      </w:tr>
    </w:tbl>
    <w:p>
      <w:pPr>
        <w:pStyle w:val="BodyText"/>
      </w:pPr>
      <w:r>
        <w:rPr>
          <w:bCs/>
          <w:b/>
        </w:rPr>
        <w:t xml:space="preserve">Total Illustrative Product Carbon Footprint (PCF) for qhdxswphin: 64.94 kgCO2e/unit</w:t>
      </w:r>
    </w:p>
    <w:p>
      <w:pPr>
        <w:pStyle w:val="BodyText"/>
      </w:pPr>
      <w:r>
        <w:rPr>
          <w:iCs/>
          <w:i/>
        </w:rPr>
        <w:t xml:space="preserve">Note: This total is based on the sum of all illustrative Scope 1, 2, and 3 emissions. Scope 3 emissions account for approximately 98.4% of the total (64.17 kgCO2e / 64.94 kgCO2e), comfortably exceeding the 95% coverage requirement for Scope 3.</w:t>
      </w:r>
    </w:p>
    <w:p>
      <w:r>
        <w:pict>
          <v:rect style="width:0;height:1.5pt" o:hralign="center" o:hrstd="t" o:hr="t"/>
        </w:pict>
      </w:r>
    </w:p>
    <w:bookmarkEnd w:id="41"/>
    <w:bookmarkEnd w:id="42"/>
    <w:bookmarkStart w:id="46" w:name="review-report"/>
    <w:p>
      <w:pPr>
        <w:pStyle w:val="Heading1"/>
      </w:pPr>
      <w:r>
        <w:t xml:space="preserve">4. Review &amp; Report</w:t>
      </w:r>
    </w:p>
    <w:bookmarkStart w:id="43" w:name="hotspot-identification"/>
    <w:p>
      <w:pPr>
        <w:pStyle w:val="Heading2"/>
      </w:pPr>
      <w:r>
        <w:t xml:space="preserve">4.1. Hotspot Identification</w:t>
      </w:r>
    </w:p>
    <w:p>
      <w:pPr>
        <w:pStyle w:val="FirstParagraph"/>
      </w:pPr>
      <w:r>
        <w:t xml:space="preserve">Based on the illustrative calculations, the primary GHG emission hotspots for</w:t>
      </w:r>
      <w:r>
        <w:t xml:space="preserve"> </w:t>
      </w:r>
      <w:r>
        <w:rPr>
          <w:bCs/>
          <w:b/>
        </w:rPr>
        <w:t xml:space="preserve">qhdxswphin</w:t>
      </w:r>
      <w:r>
        <w:t xml:space="preserve"> </w:t>
      </w:r>
      <w:r>
        <w:t xml:space="preserve">are:</w:t>
      </w:r>
    </w:p>
    <w:p>
      <w:pPr>
        <w:numPr>
          <w:ilvl w:val="0"/>
          <w:numId w:val="1019"/>
        </w:numPr>
        <w:pStyle w:val="Compact"/>
      </w:pPr>
      <w:r>
        <w:rPr>
          <w:bCs/>
          <w:b/>
        </w:rPr>
        <w:t xml:space="preserve">Use Phase (approx. 84.3% of total PCF):</w:t>
      </w:r>
      <w:r>
        <w:t xml:space="preserve"> </w:t>
      </w:r>
      <w:r>
        <w:t xml:space="preserve">Energy consumption during the product\'s 5-year lifespan is by far the largest contributor to its carbon footprint (54.75 kgCO2e).</w:t>
      </w:r>
    </w:p>
    <w:p>
      <w:pPr>
        <w:numPr>
          <w:ilvl w:val="0"/>
          <w:numId w:val="1019"/>
        </w:numPr>
        <w:pStyle w:val="Compact"/>
      </w:pPr>
      <w:r>
        <w:rPr>
          <w:bCs/>
          <w:b/>
        </w:rPr>
        <w:t xml:space="preserve">Material Acquisition &amp; Production (approx. 15.4% of total PCF):</w:t>
      </w:r>
      <w:r>
        <w:t xml:space="preserve"> </w:t>
      </w:r>
      <w:r>
        <w:t xml:space="preserve">The production of materials, particularly Aluminum Casing and Printed Circuit Board, contributes significantly to upstream emissions (10.01 kgCO2e).</w:t>
      </w:r>
    </w:p>
    <w:p>
      <w:pPr>
        <w:numPr>
          <w:ilvl w:val="0"/>
          <w:numId w:val="1019"/>
        </w:numPr>
        <w:pStyle w:val="Compact"/>
      </w:pPr>
      <w:r>
        <w:t xml:space="preserve">Other stages like production energy and transport contribute a smaller percentage but are still relevant for comprehensive assessment.</w:t>
      </w:r>
    </w:p>
    <w:bookmarkEnd w:id="43"/>
    <w:bookmarkStart w:id="44" w:name="reliability-and-limitations"/>
    <w:p>
      <w:pPr>
        <w:pStyle w:val="Heading2"/>
      </w:pPr>
      <w:r>
        <w:t xml:space="preserve">4.2. Reliability and Limitations</w:t>
      </w:r>
    </w:p>
    <w:p>
      <w:pPr>
        <w:pStyle w:val="FirstParagraph"/>
      </w:pPr>
      <w:r>
        <w:t xml:space="preserve">The reliability of this report is constrained by the illustrative nature of several key input parameters (e.g., specific transport distances, energy consumption in use, recyclability rates). For a definitive and actionable PCF, primary data for these parameters, directly from</w:t>
      </w:r>
      <w:r>
        <w:t xml:space="preserve"> </w:t>
      </w:r>
      <w:r>
        <w:rPr>
          <w:bCs/>
          <w:b/>
        </w:rPr>
        <w:t xml:space="preserve">ktqqpwgyuo</w:t>
      </w:r>
      <w:r>
        <w:t xml:space="preserve">\'s operations and supply chain, would be essential. Emission factors from generic databases (Ecoinvent/DEFRA equivalents used illustratively) carry inherent uncertainties. However, the methodology adheres strictly to GHG Protocol standards, ensuring consistency and comparability once primary data is integrated.</w:t>
      </w:r>
    </w:p>
    <w:bookmarkEnd w:id="44"/>
    <w:bookmarkStart w:id="45" w:name="recommendations-for-emission-reduction"/>
    <w:p>
      <w:pPr>
        <w:pStyle w:val="Heading2"/>
      </w:pPr>
      <w:r>
        <w:t xml:space="preserve">4.3. Recommendations for Emission Reduction</w:t>
      </w:r>
    </w:p>
    <w:p>
      <w:pPr>
        <w:numPr>
          <w:ilvl w:val="0"/>
          <w:numId w:val="1020"/>
        </w:numPr>
        <w:pStyle w:val="Compact"/>
      </w:pPr>
      <w:r>
        <w:rPr>
          <w:bCs/>
          <w:b/>
        </w:rPr>
        <w:t xml:space="preserve">Optimize Use Phase Energy Efficiency:</w:t>
      </w:r>
      <w:r>
        <w:t xml:space="preserve"> </w:t>
      </w:r>
      <w:r>
        <w:t xml:space="preserve">Redesign qhdxswphin for significantly lower energy consumption during operation. Explore passive cooling solutions or more efficient power management.</w:t>
      </w:r>
    </w:p>
    <w:p>
      <w:pPr>
        <w:numPr>
          <w:ilvl w:val="0"/>
          <w:numId w:val="1020"/>
        </w:numPr>
        <w:pStyle w:val="Compact"/>
      </w:pPr>
      <w:r>
        <w:rPr>
          <w:bCs/>
          <w:b/>
        </w:rPr>
        <w:t xml:space="preserve">Promote Renewable Energy Adoption:</w:t>
      </w:r>
      <w:r>
        <w:t xml:space="preserve"> </w:t>
      </w:r>
      <w:r>
        <w:t xml:space="preserve">Encourage end-users to power the product with renewable energy where possible, potentially through partnerships or consumer education.</w:t>
      </w:r>
    </w:p>
    <w:p>
      <w:pPr>
        <w:numPr>
          <w:ilvl w:val="0"/>
          <w:numId w:val="1020"/>
        </w:numPr>
        <w:pStyle w:val="Compact"/>
      </w:pPr>
      <w:r>
        <w:rPr>
          <w:bCs/>
          <w:b/>
        </w:rPr>
        <w:t xml:space="preserve">Material Optimization:</w:t>
      </w:r>
      <w:r>
        <w:t xml:space="preserve"> </w:t>
      </w:r>
      <w:r>
        <w:t xml:space="preserve">Investigate alternative materials with lower embodied carbon, particularly for the aluminum casing and PCB. Prioritize recycled content where feasible without compromising product performance.</w:t>
      </w:r>
    </w:p>
    <w:p>
      <w:pPr>
        <w:numPr>
          <w:ilvl w:val="0"/>
          <w:numId w:val="1020"/>
        </w:numPr>
        <w:pStyle w:val="Compact"/>
      </w:pPr>
      <w:r>
        <w:rPr>
          <w:bCs/>
          <w:b/>
        </w:rPr>
        <w:t xml:space="preserve">Enhance Circularity:</w:t>
      </w:r>
      <w:r>
        <w:t xml:space="preserve"> </w:t>
      </w:r>
      <w:r>
        <w:t xml:space="preserve">Strengthen existing take-back programs (kktunkugif) and explore design for disassembly and repair to further increase actual recycling rates and extend product lifespan, reducing the need for new material production.</w:t>
      </w:r>
    </w:p>
    <w:p>
      <w:pPr>
        <w:numPr>
          <w:ilvl w:val="0"/>
          <w:numId w:val="1020"/>
        </w:numPr>
        <w:pStyle w:val="Compact"/>
      </w:pPr>
      <w:r>
        <w:rPr>
          <w:bCs/>
          <w:b/>
        </w:rPr>
        <w:t xml:space="preserve">Supply Chain Engagement:</w:t>
      </w:r>
      <w:r>
        <w:t xml:space="preserve"> </w:t>
      </w:r>
      <w:r>
        <w:t xml:space="preserve">Work with suppliers to understand and reduce the emissions associated with their manufacturing processes.</w:t>
      </w:r>
    </w:p>
    <w:p>
      <w:r>
        <w:pict>
          <v:rect style="width:0;height:1.5pt" o:hralign="center" o:hrstd="t" o:hr="t"/>
        </w:pict>
      </w:r>
    </w:p>
    <w:p>
      <w:pPr>
        <w:pStyle w:val="FirstParagraph"/>
      </w:pPr>
      <w:r>
        <w:t xml:space="preserve">Confidential - Internal Use Only | Generated Date: May 26, 2026</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qhdxswphin</dc:title>
  <dc:creator/>
  <dc:description>Detailed Product Carbon Footprint (PCF) analysis report for qhdxswphin, adhering to GHG Protocol and 2026 LSR update, prepared by ktqqpwgyuo and Senior Sustainability Consultant qqujklruvf.</dc:description>
  <dc:language>en</dc:language>
  <cp:keywords/>
  <dcterms:created xsi:type="dcterms:W3CDTF">2026-05-30T11:31:09Z</dcterms:created>
  <dcterms:modified xsi:type="dcterms:W3CDTF">2026-05-30T11:31:09Z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