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qdoifiixsq</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Product:</w:t>
      </w:r>
      <w:r>
        <w:t xml:space="preserve"> </w:t>
      </w:r>
      <w:r>
        <w:rPr>
          <w:bCs/>
          <w:b/>
        </w:rPr>
        <w:t xml:space="preserve">qdoifiixsq</w:t>
      </w:r>
    </w:p>
    <w:p>
      <w:pPr>
        <w:pStyle w:val="BodyText"/>
      </w:pPr>
      <w:r>
        <w:t xml:space="preserve">Company Name:</w:t>
      </w:r>
      <w:r>
        <w:t xml:space="preserve"> </w:t>
      </w:r>
      <w:r>
        <w:rPr>
          <w:bCs/>
          <w:b/>
        </w:rPr>
        <w:t xml:space="preserve">ygxhihvmvi</w:t>
      </w:r>
    </w:p>
    <w:p>
      <w:pPr>
        <w:pStyle w:val="BodyText"/>
      </w:pPr>
      <w:r>
        <w:t xml:space="preserve">Senior Sustainability Consultant:</w:t>
      </w:r>
      <w:r>
        <w:t xml:space="preserve"> </w:t>
      </w:r>
      <w:r>
        <w:rPr>
          <w:bCs/>
          <w:b/>
        </w:rPr>
        <w:t xml:space="preserve">odlsgxpmyy</w:t>
      </w:r>
    </w:p>
    <w:p>
      <w:pPr>
        <w:pStyle w:val="BodyText"/>
      </w:pPr>
      <w:r>
        <w:t xml:space="preserve">Protocol Data (Accounting Standard):</w:t>
      </w:r>
      <w:r>
        <w:t xml:space="preserve"> </w:t>
      </w:r>
      <w:r>
        <w:rPr>
          <w:bCs/>
          <w:b/>
        </w:rPr>
        <w:t xml:space="preserve">GHG Protocol</w:t>
      </w:r>
    </w:p>
    <w:p>
      <w:pPr>
        <w:pStyle w:val="BodyText"/>
      </w:pPr>
      <w:r>
        <w:t xml:space="preserve">Disclaimer: This report is generated based on available data and industry standards. While every effort has been made to ensure accuracy, the actual carbon footprint may vary based on real-world operational nuances and data limitations. This analysis serves as a comprehensive estimate and guide for sustainability improvements.</w:t>
      </w:r>
    </w:p>
    <w:bookmarkEnd w:id="20"/>
    <w:bookmarkStart w:id="21" w:name="X5688066da4ecd2b833694e36cfaa0f0b70d4f69"/>
    <w:p>
      <w:pPr>
        <w:pStyle w:val="Heading1"/>
      </w:pPr>
      <w:r>
        <w:t xml:space="preserve">Product Carbon Footprint Report for qdoifiixsq</w:t>
      </w:r>
    </w:p>
    <w:p>
      <w:pPr>
        <w:pStyle w:val="FirstParagraph"/>
      </w:pPr>
      <w:r>
        <w:t xml:space="preserve">Generated Date: May 29,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qdoifiixsq, manufactured by ygxhihvmvi. Conducted by Senior Sustainability Consultant odlsgxpmyy, this analysis adheres strictly to the GHG Protocol accounting standard, incorporating the latest 2026 Land Sector and Removals (LSR) Standard updates and ensuring comprehensive Scope 3 coverage. The primary system boundary for the PCF is \'factory_gate\', with expanded analysis for the product\'s use phase and end-of-life to provide a holistic view of its lifecycle impact. The analysis leverages detailed Bill of Materials, specific logistics, production energy data, and product lifespan parameters to identify key emission hotspots and guide strategic interventions for sustainability improvements.</w:t>
      </w:r>
    </w:p>
    <w:p>
      <w:r>
        <w:pict>
          <v:rect style="width:0;height:1.5pt" o:hralign="center" o:hrstd="t" o:hr="t"/>
        </w:pict>
      </w:r>
    </w:p>
    <w:bookmarkEnd w:id="22"/>
    <w:bookmarkStart w:id="23" w:name="defining-the-scope"/>
    <w:p>
      <w:pPr>
        <w:pStyle w:val="Heading2"/>
      </w:pPr>
      <w:r>
        <w:t xml:space="preserve">1. Defining the Scope</w:t>
      </w:r>
    </w:p>
    <w:p>
      <w:pPr>
        <w:pStyle w:val="FirstParagraph"/>
      </w:pPr>
      <w:r>
        <w:t xml:space="preserve">The initial step in any robust PCF analysis is clearly defining its scope, ensuring all relevant emissions sources are considered within a well-defined system boundary.</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 product qdoifiixsq. This unit serves as the reference basis for all emission calculations, allowing for consistent comparison and aggregation of impacts.</w:t>
      </w:r>
    </w:p>
    <w:p>
      <w:pPr>
        <w:numPr>
          <w:ilvl w:val="0"/>
          <w:numId w:val="1001"/>
        </w:numPr>
        <w:pStyle w:val="Compact"/>
      </w:pPr>
      <w:r>
        <w:rPr>
          <w:bCs/>
          <w:b/>
        </w:rPr>
        <w:t xml:space="preserve">System Boundary:</w:t>
      </w:r>
      <w:r>
        <w:t xml:space="preserve"> </w:t>
      </w:r>
      <w:r>
        <w:t xml:space="preserve">The primary system boundary for the cradle-to-gate PCF calculation is</w:t>
      </w:r>
      <w:r>
        <w:t xml:space="preserve"> </w:t>
      </w:r>
      <w:r>
        <w:rPr>
          <w:bCs/>
          <w:b/>
        </w:rPr>
        <w:t xml:space="preserve">factory_gate</w:t>
      </w:r>
      <w:r>
        <w:t xml:space="preserve">. This encompasses all emissions from raw material extraction, processing, component manufacturing, upstream transportation, and the final assembly/production at the manufacturing facility in China, up to the point the finished product leaves the factory gate. Downstream emissions from product distribution, the use phase, and end-of-life are analyzed separately as critical Scope 3 categories, providing a broader lifecycle perspective in line with best practices, even if beyond the immediate \'gate\' boundary.</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 Production energy and specific manufacturing processes are localized to this region.</w:t>
      </w:r>
    </w:p>
    <w:p>
      <w:pPr>
        <w:numPr>
          <w:ilvl w:val="1"/>
          <w:numId w:val="1002"/>
        </w:numPr>
        <w:pStyle w:val="Compact"/>
      </w:pPr>
      <w:r>
        <w:rPr>
          <w:bCs/>
          <w:b/>
        </w:rPr>
        <w:t xml:space="preserve">Supply Chain Focus:</w:t>
      </w:r>
      <w:r>
        <w:t xml:space="preserve"> </w:t>
      </w:r>
      <w:r>
        <w:t xml:space="preserve">Europe Focused. Upstream material sourcing and initial distribution scenarios are considered with a focus on European supply chain dynamics where applicable.</w:t>
      </w:r>
    </w:p>
    <w:p>
      <w:pPr>
        <w:numPr>
          <w:ilvl w:val="0"/>
          <w:numId w:val="1001"/>
        </w:numPr>
        <w:pStyle w:val="Compact"/>
      </w:pPr>
      <w:r>
        <w:rPr>
          <w:bCs/>
          <w:b/>
        </w:rPr>
        <w:t xml:space="preserve">Accounting Standard:</w:t>
      </w:r>
      <w:r>
        <w:t xml:space="preserve"> </w:t>
      </w:r>
      <w:r>
        <w:t xml:space="preserve">All calculations and reporting strictly adhere to the</w:t>
      </w:r>
      <w:r>
        <w:t xml:space="preserve"> </w:t>
      </w:r>
      <w:r>
        <w:rPr>
          <w:bCs/>
          <w:b/>
        </w:rPr>
        <w:t xml:space="preserve">GHG Protocol</w:t>
      </w:r>
      <w:r>
        <w:t xml:space="preserve">, the most widely used international accounting tool for understanding, quantifying, and managing greenhouse gas emissions. Emissions are categorized into Scope 1 (direct), Scope 2 (purchased energy), and Scope 3 (value chain) for transparent reporting.</w:t>
      </w:r>
    </w:p>
    <w:p>
      <w:pPr>
        <w:numPr>
          <w:ilvl w:val="0"/>
          <w:numId w:val="1001"/>
        </w:numPr>
        <w:pStyle w:val="Compact"/>
      </w:pPr>
      <w:r>
        <w:rPr>
          <w:bCs/>
          <w:b/>
        </w:rPr>
        <w:t xml:space="preserve">Allocation:</w:t>
      </w:r>
      <w:r>
        <w:t xml:space="preserve"> </w:t>
      </w:r>
      <w:r>
        <w:t xml:space="preserve">Where co-production or multi-output processes occur, allocation of emissions is performed based on scientifically sound methods, primarily mass-based or economic allocation, to ensure fair distribution of environmental burdens to the product qdoifiixsq.</w:t>
      </w:r>
    </w:p>
    <w:p>
      <w:r>
        <w:pict>
          <v:rect style="width:0;height:1.5pt" o:hralign="center" o:hrstd="t" o:hr="t"/>
        </w:pict>
      </w:r>
    </w:p>
    <w:bookmarkEnd w:id="23"/>
    <w:bookmarkStart w:id="29" w:name="mapping-the-lifecycle-3.-data-collection"/>
    <w:p>
      <w:pPr>
        <w:pStyle w:val="Heading2"/>
      </w:pPr>
      <w:r>
        <w:t xml:space="preserve">2. Mapping the Lifecycle &amp; 3. Data Collection</w:t>
      </w:r>
    </w:p>
    <w:p>
      <w:pPr>
        <w:pStyle w:val="FirstParagraph"/>
      </w:pPr>
      <w:r>
        <w:t xml:space="preserve">These stages involve identifying all processes and materials throughout the product\'s lifecycle and collecting the necessary data for emission quantification. The analysis for qdoifiixsq spans raw material acquisition, manufacturing, transportation, the product\'s use phase, and its end-of-life.</w:t>
      </w:r>
    </w:p>
    <w:bookmarkStart w:id="24" w:name="X56a263c93bfe8aab79e7f088ad32acd6685ffe5"/>
    <w:p>
      <w:pPr>
        <w:pStyle w:val="Heading3"/>
      </w:pPr>
      <w:r>
        <w:t xml:space="preserve">Detailed Bill of Materials (BOM) Analysis (jnisjwrm)</w:t>
      </w:r>
    </w:p>
    <w:p>
      <w:pPr>
        <w:pStyle w:val="FirstParagraph"/>
      </w:pPr>
      <w:r>
        <w:t xml:space="preserve">The following detailed Bill of Materials (BOM) for qdoifiixsq provides the foundational data for the material phase emissions. The \'Total Carbon\' values represent the embedded emissions (cradle-to-gate) for each material component, as provided. This approach ensures high accuracy for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(Illustrative)</w:t>
            </w:r>
          </w:p>
        </w:tc>
        <w:tc>
          <w:tcPr/>
          <w:p>
            <w:pPr>
              <w:pStyle w:val="Compact"/>
              <w:jc w:val="left"/>
            </w:pPr>
            <w:r>
              <w:t xml:space="preserve">Total Carbon (kgCO2e/unit of BOM item)</w:t>
            </w:r>
          </w:p>
        </w:tc>
      </w:tr>
      <w:tr>
        <w:tc>
          <w:tcPr/>
          <w:p>
            <w:pPr>
              <w:pStyle w:val="Compact"/>
              <w:jc w:val="left"/>
            </w:pPr>
            <w:r>
              <w:t xml:space="preserve">ID_jnisjwrm_1</w:t>
            </w:r>
          </w:p>
        </w:tc>
        <w:tc>
          <w:tcPr/>
          <w:p>
            <w:pPr>
              <w:pStyle w:val="Compact"/>
              <w:jc w:val="left"/>
            </w:pPr>
            <w:r>
              <w:t xml:space="preserve">Description_jnisjwrm_1</w:t>
            </w:r>
          </w:p>
        </w:tc>
        <w:tc>
          <w:tcPr/>
          <w:p>
            <w:pPr>
              <w:pStyle w:val="Compact"/>
              <w:jc w:val="left"/>
            </w:pPr>
            <w:r>
              <w:t xml:space="preserve">Category_jnisjwrm_1</w:t>
            </w:r>
          </w:p>
        </w:tc>
        <w:tc>
          <w:tcPr/>
          <w:p>
            <w:pPr>
              <w:pStyle w:val="Compact"/>
              <w:jc w:val="left"/>
            </w:pPr>
            <w:r>
              <w:t xml:space="preserve">Process_jnisjwrm_1</w:t>
            </w:r>
          </w:p>
        </w:tc>
        <w:tc>
          <w:tcPr/>
          <w:p>
            <w:pPr>
              <w:pStyle w:val="Compact"/>
              <w:jc w:val="left"/>
            </w:pPr>
            <w:r>
              <w:t xml:space="preserve">Qty_jnisjwrm_1</w:t>
            </w:r>
          </w:p>
        </w:tc>
        <w:tc>
          <w:tcPr/>
          <w:p>
            <w:pPr>
              <w:pStyle w:val="Compact"/>
              <w:jc w:val="left"/>
            </w:pPr>
            <w:r>
              <w:t xml:space="preserve">Unit_jnisjwrm_1</w:t>
            </w:r>
          </w:p>
        </w:tc>
        <w:tc>
          <w:tcPr/>
          <w:p>
            <w:pPr>
              <w:pStyle w:val="Compact"/>
              <w:jc w:val="left"/>
            </w:pPr>
            <w:r>
              <w:t xml:space="preserve">EF_jnisjwrm_1 kgCO2e/Unit_jnisjwrm_1</w:t>
            </w:r>
          </w:p>
        </w:tc>
        <w:tc>
          <w:tcPr/>
          <w:p>
            <w:pPr>
              <w:pStyle w:val="Compact"/>
              <w:jc w:val="left"/>
            </w:pPr>
            <w:r>
              <w:t xml:space="preserve">TotalCarbon_jnisjwrm_1 kgCO2e</w:t>
            </w:r>
          </w:p>
        </w:tc>
      </w:tr>
      <w:tr>
        <w:tc>
          <w:tcPr/>
          <w:p>
            <w:pPr>
              <w:pStyle w:val="Compact"/>
              <w:jc w:val="left"/>
            </w:pPr>
            <w:r>
              <w:t xml:space="preserve">ID_jnisjwrm_2</w:t>
            </w:r>
          </w:p>
        </w:tc>
        <w:tc>
          <w:tcPr/>
          <w:p>
            <w:pPr>
              <w:pStyle w:val="Compact"/>
              <w:jc w:val="left"/>
            </w:pPr>
            <w:r>
              <w:t xml:space="preserve">Description_jnisjwrm_2</w:t>
            </w:r>
          </w:p>
        </w:tc>
        <w:tc>
          <w:tcPr/>
          <w:p>
            <w:pPr>
              <w:pStyle w:val="Compact"/>
              <w:jc w:val="left"/>
            </w:pPr>
            <w:r>
              <w:t xml:space="preserve">Category_jnisjwrm_2</w:t>
            </w:r>
          </w:p>
        </w:tc>
        <w:tc>
          <w:tcPr/>
          <w:p>
            <w:pPr>
              <w:pStyle w:val="Compact"/>
              <w:jc w:val="left"/>
            </w:pPr>
            <w:r>
              <w:t xml:space="preserve">Process_jnisjwrm_2</w:t>
            </w:r>
          </w:p>
        </w:tc>
        <w:tc>
          <w:tcPr/>
          <w:p>
            <w:pPr>
              <w:pStyle w:val="Compact"/>
              <w:jc w:val="left"/>
            </w:pPr>
            <w:r>
              <w:t xml:space="preserve">Qty_jnisjwrm_2</w:t>
            </w:r>
          </w:p>
        </w:tc>
        <w:tc>
          <w:tcPr/>
          <w:p>
            <w:pPr>
              <w:pStyle w:val="Compact"/>
              <w:jc w:val="left"/>
            </w:pPr>
            <w:r>
              <w:t xml:space="preserve">Unit_jnisjwrm_2</w:t>
            </w:r>
          </w:p>
        </w:tc>
        <w:tc>
          <w:tcPr/>
          <w:p>
            <w:pPr>
              <w:pStyle w:val="Compact"/>
              <w:jc w:val="left"/>
            </w:pPr>
            <w:r>
              <w:t xml:space="preserve">EF_jnisjwrm_2 kgCO2e/Unit_jnisjwrm_2</w:t>
            </w:r>
          </w:p>
        </w:tc>
        <w:tc>
          <w:tcPr/>
          <w:p>
            <w:pPr>
              <w:pStyle w:val="Compact"/>
              <w:jc w:val="left"/>
            </w:pPr>
            <w:r>
              <w:t xml:space="preserve">TotalCarbon_jnisjwrm_2 kgCO2e</w:t>
            </w:r>
          </w:p>
        </w:tc>
      </w:tr>
      <w:tr>
        <w:tc>
          <w:tcPr/>
          <w:p>
            <w:pPr>
              <w:pStyle w:val="Compact"/>
              <w:jc w:val="left"/>
            </w:pPr>
            <w:r>
              <w:t xml:space="preserve">ID_jnisjwrm_3</w:t>
            </w:r>
          </w:p>
        </w:tc>
        <w:tc>
          <w:tcPr/>
          <w:p>
            <w:pPr>
              <w:pStyle w:val="Compact"/>
              <w:jc w:val="left"/>
            </w:pPr>
            <w:r>
              <w:t xml:space="preserve">Description_jnisjwrm_3</w:t>
            </w:r>
          </w:p>
        </w:tc>
        <w:tc>
          <w:tcPr/>
          <w:p>
            <w:pPr>
              <w:pStyle w:val="Compact"/>
              <w:jc w:val="left"/>
            </w:pPr>
            <w:r>
              <w:t xml:space="preserve">Category_jnisjwrm_3</w:t>
            </w:r>
          </w:p>
        </w:tc>
        <w:tc>
          <w:tcPr/>
          <w:p>
            <w:pPr>
              <w:pStyle w:val="Compact"/>
              <w:jc w:val="left"/>
            </w:pPr>
            <w:r>
              <w:t xml:space="preserve">Process_jnisjwrm_3</w:t>
            </w:r>
          </w:p>
        </w:tc>
        <w:tc>
          <w:tcPr/>
          <w:p>
            <w:pPr>
              <w:pStyle w:val="Compact"/>
              <w:jc w:val="left"/>
            </w:pPr>
            <w:r>
              <w:t xml:space="preserve">Qty_jnisjwrm_3</w:t>
            </w:r>
          </w:p>
        </w:tc>
        <w:tc>
          <w:tcPr/>
          <w:p>
            <w:pPr>
              <w:pStyle w:val="Compact"/>
              <w:jc w:val="left"/>
            </w:pPr>
            <w:r>
              <w:t xml:space="preserve">Unit_jnisjwrm_3</w:t>
            </w:r>
          </w:p>
        </w:tc>
        <w:tc>
          <w:tcPr/>
          <w:p>
            <w:pPr>
              <w:pStyle w:val="Compact"/>
              <w:jc w:val="left"/>
            </w:pPr>
            <w:r>
              <w:t xml:space="preserve">EF_jnisjwrm_3 kgCO2e/Unit_jnisjwrm_3</w:t>
            </w:r>
          </w:p>
        </w:tc>
        <w:tc>
          <w:tcPr/>
          <w:p>
            <w:pPr>
              <w:pStyle w:val="Compact"/>
              <w:jc w:val="left"/>
            </w:pPr>
            <w:r>
              <w:t xml:space="preserve">TotalCarbon_jnisjwrm_3 kgCO2e</w:t>
            </w:r>
          </w:p>
        </w:tc>
      </w:tr>
    </w:tbl>
    <w:p>
      <w:pPr>
        <w:pStyle w:val="BodyText"/>
      </w:pPr>
      <w:r>
        <w:t xml:space="preserve">*Note: The \'Emission Factor\' column provides illustrative values for context; the \'Total Carbon\' column is directly used as per the provided BOM (jnisjwrm) for the material\'s cradle-to-gate impact.*</w:t>
      </w:r>
    </w:p>
    <w:bookmarkEnd w:id="24"/>
    <w:bookmarkStart w:id="25" w:name="Xfc198ad8ca3036d4a43874c39d90ca4a939a115"/>
    <w:p>
      <w:pPr>
        <w:pStyle w:val="Heading3"/>
      </w:pPr>
      <w:r>
        <w:t xml:space="preserve">Energy Inputs for Production (ygxhihvmvi facility, China)</w:t>
      </w:r>
    </w:p>
    <w:p>
      <w:pPr>
        <w:numPr>
          <w:ilvl w:val="0"/>
          <w:numId w:val="1003"/>
        </w:numPr>
        <w:pStyle w:val="Compact"/>
      </w:pPr>
      <w:r>
        <w:rPr>
          <w:bCs/>
          <w:b/>
        </w:rPr>
        <w:t xml:space="preserve">Energy Intensity (kWh/unit):</w:t>
      </w:r>
      <w:r>
        <w:t xml:space="preserve"> </w:t>
      </w:r>
      <w:r>
        <w:t xml:space="preserve">wurvmjkeev kWh/unit. This represents the total electricity consumed to manufacture one unit of qdoifiixsq.</w:t>
      </w:r>
    </w:p>
    <w:p>
      <w:pPr>
        <w:numPr>
          <w:ilvl w:val="0"/>
          <w:numId w:val="1003"/>
        </w:numPr>
        <w:pStyle w:val="Compact"/>
      </w:pPr>
      <w:r>
        <w:rPr>
          <w:bCs/>
          <w:b/>
        </w:rPr>
        <w:t xml:space="preserve">Renewable Energy Usage:</w:t>
      </w:r>
      <w:r>
        <w:t xml:space="preserve"> </w:t>
      </w:r>
      <w:r>
        <w:t xml:space="preserve">qopjgdogst. This percentage of the total energy intensity is sourced from renewable energy, significantly reducing Scope 2 emissions. The remaining percentage will be associated with the grid mix of the final production country (China).</w:t>
      </w:r>
    </w:p>
    <w:bookmarkEnd w:id="25"/>
    <w:bookmarkStart w:id="26" w:name="logistics-data"/>
    <w:p>
      <w:pPr>
        <w:pStyle w:val="Heading3"/>
      </w:pPr>
      <w:r>
        <w:t xml:space="preserve">Logistics Data</w:t>
      </w:r>
    </w:p>
    <w:p>
      <w:pPr>
        <w:numPr>
          <w:ilvl w:val="0"/>
          <w:numId w:val="1004"/>
        </w:numPr>
        <w:pStyle w:val="Compact"/>
      </w:pPr>
      <w:r>
        <w:rPr>
          <w:bCs/>
          <w:b/>
        </w:rPr>
        <w:t xml:space="preserve">Upstream Transport:</w:t>
      </w:r>
    </w:p>
    <w:p>
      <w:pPr>
        <w:numPr>
          <w:ilvl w:val="1"/>
          <w:numId w:val="1005"/>
        </w:numPr>
        <w:pStyle w:val="Compact"/>
      </w:pPr>
      <w:r>
        <w:rPr>
          <w:bCs/>
          <w:b/>
        </w:rPr>
        <w:t xml:space="preserve">Transport Mode:</w:t>
      </w:r>
      <w:r>
        <w:t xml:space="preserve"> </w:t>
      </w:r>
      <w:r>
        <w:t xml:space="preserve">Select Mode (e.g., Ocean Freight, Rail, Road). Specific emission factors for this mode will be applied.</w:t>
      </w:r>
    </w:p>
    <w:p>
      <w:pPr>
        <w:numPr>
          <w:ilvl w:val="1"/>
          <w:numId w:val="1005"/>
        </w:numPr>
        <w:pStyle w:val="Compact"/>
      </w:pPr>
      <w:r>
        <w:rPr>
          <w:bCs/>
          <w:b/>
        </w:rPr>
        <w:t xml:space="preserve">Transport Distance:</w:t>
      </w:r>
      <w:r>
        <w:t xml:space="preserve"> </w:t>
      </w:r>
      <w:r>
        <w:t xml:space="preserve">mmmsynqyqt. This distance is used to calculate the emissions associated with transporting raw materials and components to the manufacturing facility.</w:t>
      </w:r>
    </w:p>
    <w:p>
      <w:pPr>
        <w:numPr>
          <w:ilvl w:val="0"/>
          <w:numId w:val="1004"/>
        </w:numPr>
        <w:pStyle w:val="Compact"/>
      </w:pPr>
      <w:r>
        <w:rPr>
          <w:bCs/>
          <w:b/>
        </w:rPr>
        <w:t xml:space="preserve">Downstream/Last-Mile Delivery:</w:t>
      </w:r>
    </w:p>
    <w:p>
      <w:pPr>
        <w:numPr>
          <w:ilvl w:val="1"/>
          <w:numId w:val="1006"/>
        </w:numPr>
        <w:pStyle w:val="Compact"/>
      </w:pPr>
      <w:r>
        <w:rPr>
          <w:bCs/>
          <w:b/>
        </w:rPr>
        <w:t xml:space="preserve">Last-Mile Delivery Channel:</w:t>
      </w:r>
      <w:r>
        <w:t xml:space="preserve"> </w:t>
      </w:r>
      <w:r>
        <w:t xml:space="preserve">Delivery Type (e.g., Road (Heavy Duty Truck), Van, Air Cargo). The chosen delivery type will determine the emission intensity for transporting the finished product to the end-user or distribution hubs.</w:t>
      </w:r>
    </w:p>
    <w:bookmarkEnd w:id="26"/>
    <w:bookmarkStart w:id="27" w:name="use-phase-data"/>
    <w:p>
      <w:pPr>
        <w:pStyle w:val="Heading3"/>
      </w:pPr>
      <w:r>
        <w:t xml:space="preserve">Use Phase Data</w:t>
      </w:r>
    </w:p>
    <w:p>
      <w:pPr>
        <w:numPr>
          <w:ilvl w:val="0"/>
          <w:numId w:val="1007"/>
        </w:numPr>
        <w:pStyle w:val="Compact"/>
      </w:pPr>
      <w:r>
        <w:rPr>
          <w:bCs/>
          <w:b/>
        </w:rPr>
        <w:t xml:space="preserve">Product Lifespan:</w:t>
      </w:r>
      <w:r>
        <w:t xml:space="preserve"> </w:t>
      </w:r>
      <w:r>
        <w:t xml:space="preserve">qflodyiphf. This duration is crucial for calculating total energy consumption during the product\'s operational life.</w:t>
      </w:r>
    </w:p>
    <w:p>
      <w:pPr>
        <w:numPr>
          <w:ilvl w:val="0"/>
          <w:numId w:val="1007"/>
        </w:numPr>
        <w:pStyle w:val="Compact"/>
      </w:pPr>
      <w:r>
        <w:rPr>
          <w:bCs/>
          <w:b/>
        </w:rPr>
        <w:t xml:space="preserve">Energy Consumption in Use:</w:t>
      </w:r>
      <w:r>
        <w:t xml:space="preserve"> </w:t>
      </w:r>
      <w:r>
        <w:t xml:space="preserve">fiteoyrths. This parameter quantifies the energy required per unit of time (e.g., kWh/year) for the product to function over its lifespan.</w:t>
      </w:r>
    </w:p>
    <w:bookmarkEnd w:id="27"/>
    <w:bookmarkStart w:id="28" w:name="end-of-life-eol-scenarios"/>
    <w:p>
      <w:pPr>
        <w:pStyle w:val="Heading3"/>
      </w:pPr>
      <w:r>
        <w:t xml:space="preserve">End-of-Life (EoL) Scenarios</w:t>
      </w:r>
    </w:p>
    <w:p>
      <w:pPr>
        <w:numPr>
          <w:ilvl w:val="0"/>
          <w:numId w:val="1008"/>
        </w:numPr>
        <w:pStyle w:val="Compact"/>
      </w:pPr>
      <w:r>
        <w:rPr>
          <w:bCs/>
          <w:b/>
        </w:rPr>
        <w:t xml:space="preserve">Recyclability Percentage:</w:t>
      </w:r>
      <w:r>
        <w:t xml:space="preserve"> </w:t>
      </w:r>
      <w:r>
        <w:t xml:space="preserve">qsypregjll. This percentage indicates the portion of the product that can be effectively recycled at its end-of-life, contributing to circularity and avoided emissions from virgin material production.</w:t>
      </w:r>
    </w:p>
    <w:p>
      <w:pPr>
        <w:numPr>
          <w:ilvl w:val="0"/>
          <w:numId w:val="1008"/>
        </w:numPr>
        <w:pStyle w:val="Compact"/>
      </w:pPr>
      <w:r>
        <w:rPr>
          <w:bCs/>
          <w:b/>
        </w:rPr>
        <w:t xml:space="preserve">Circular/Take-back Programs:</w:t>
      </w:r>
      <w:r>
        <w:t xml:space="preserve"> </w:t>
      </w:r>
      <w:r>
        <w:t xml:space="preserve">smdiddkekt. The presence and effectiveness of these programs (e.g., Yes, regional collection points; No; Developing) further influence the actual recycling rates and overall EoL impact by ensuring materials are recovered efficiently.</w:t>
      </w:r>
    </w:p>
    <w:p>
      <w:r>
        <w:pict>
          <v:rect style="width:0;height:1.5pt" o:hralign="center" o:hrstd="t" o:hr="t"/>
        </w:pict>
      </w:r>
    </w:p>
    <w:bookmarkEnd w:id="28"/>
    <w:bookmarkEnd w:id="29"/>
    <w:bookmarkStart w:id="40" w:name="X439a6e6dcb43c636bf515ffaf3f59bce0bd6490"/>
    <w:p>
      <w:pPr>
        <w:pStyle w:val="Heading2"/>
      </w:pPr>
      <w:r>
        <w:t xml:space="preserve">4. Emission Calculation (Activity * Emission Factor = CO2e)</w:t>
      </w:r>
    </w:p>
    <w:p>
      <w:pPr>
        <w:pStyle w:val="FirstParagraph"/>
      </w:pPr>
      <w:r>
        <w:t xml:space="preserve">Emissions are calculated by multiplying activity data (e.g., kg of material, kWh of energy, tkm of transport) by relevant emission factors (e.g., from Ecoinvent, DEFRA). These are then categorized according to the GHG Protocol.</w:t>
      </w:r>
    </w:p>
    <w:bookmarkStart w:id="30" w:name="scope-1-emissions-direct-emissions"/>
    <w:p>
      <w:pPr>
        <w:pStyle w:val="Heading3"/>
      </w:pPr>
      <w:r>
        <w:t xml:space="preserve">Scope 1 Emissions (Direct Emissions)</w:t>
      </w:r>
    </w:p>
    <w:p>
      <w:pPr>
        <w:pStyle w:val="FirstParagraph"/>
      </w:pPr>
      <w:r>
        <w:t xml:space="preserve">Direct GHG emissions from sources owned or controlled by ygxhihvmvi. For a \'factory_gate\' boundary, this would typically include emissions from:</w:t>
      </w:r>
    </w:p>
    <w:p>
      <w:pPr>
        <w:numPr>
          <w:ilvl w:val="0"/>
          <w:numId w:val="1009"/>
        </w:numPr>
        <w:pStyle w:val="Compact"/>
      </w:pPr>
      <w:r>
        <w:t xml:space="preserve">On-site combustion of fuels (e.g., natural gas for heating, fuel for company vehicles within the factory premises).</w:t>
      </w:r>
    </w:p>
    <w:p>
      <w:pPr>
        <w:numPr>
          <w:ilvl w:val="0"/>
          <w:numId w:val="1009"/>
        </w:numPr>
        <w:pStyle w:val="Compact"/>
      </w:pPr>
      <w:r>
        <w:t xml:space="preserve">Process emissions from manufacturing (if any, not specified in BOM processes but would be included if present).</w:t>
      </w:r>
    </w:p>
    <w:p>
      <w:pPr>
        <w:numPr>
          <w:ilvl w:val="0"/>
          <w:numId w:val="1009"/>
        </w:numPr>
        <w:pStyle w:val="Compact"/>
      </w:pPr>
      <w:r>
        <w:t xml:space="preserve">Fugitive emissions (e.g., refrigerants from cooling systems).</w:t>
      </w:r>
    </w:p>
    <w:p>
      <w:pPr>
        <w:pStyle w:val="FirstParagraph"/>
      </w:pPr>
      <w:r>
        <w:rPr>
          <w:iCs/>
          <w:i/>
        </w:rPr>
        <w:t xml:space="preserve">Based on the provided parameters, specific data for Scope 1 emissions were not supplied. An assumption of negligible direct emissions from on-site operations for qdoifiixsq production is made for this analysis, or these are embedded within the material processes if external contractors are used. If actual data were available for ygxhihvmvi\'s specific processes in China, these would be quantified here.</w:t>
      </w:r>
    </w:p>
    <w:bookmarkEnd w:id="30"/>
    <w:bookmarkStart w:id="31" w:name="scope-2-emissions-purchased-energy"/>
    <w:p>
      <w:pPr>
        <w:pStyle w:val="Heading3"/>
      </w:pPr>
      <w:r>
        <w:t xml:space="preserve">Scope 2 Emissions (Purchased Energy)</w:t>
      </w:r>
    </w:p>
    <w:p>
      <w:pPr>
        <w:pStyle w:val="FirstParagraph"/>
      </w:pPr>
      <w:r>
        <w:t xml:space="preserve">Indirect GHG emissions from the generation of purchased electricity, heat, or steam consumed by ygxhihvmvi\'s facility.</w:t>
      </w:r>
    </w:p>
    <w:p>
      <w:pPr>
        <w:numPr>
          <w:ilvl w:val="0"/>
          <w:numId w:val="1010"/>
        </w:numPr>
        <w:pStyle w:val="Compact"/>
      </w:pPr>
      <w:r>
        <w:rPr>
          <w:bCs/>
          <w:b/>
        </w:rPr>
        <w:t xml:space="preserve">Total Electricity Consumption:</w:t>
      </w:r>
      <w:r>
        <w:t xml:space="preserve"> </w:t>
      </w:r>
      <w:r>
        <w:t xml:space="preserve">wurvmjkeev kWh/unit.</w:t>
      </w:r>
    </w:p>
    <w:p>
      <w:pPr>
        <w:numPr>
          <w:ilvl w:val="0"/>
          <w:numId w:val="1010"/>
        </w:numPr>
        <w:pStyle w:val="Compact"/>
      </w:pPr>
      <w:r>
        <w:rPr>
          <w:bCs/>
          <w:b/>
        </w:rPr>
        <w:t xml:space="preserve">Renewable Energy Usage:</w:t>
      </w:r>
      <w:r>
        <w:t xml:space="preserve"> </w:t>
      </w:r>
      <w:r>
        <w:t xml:space="preserve">qopjgdogst.</w:t>
      </w:r>
    </w:p>
    <w:p>
      <w:pPr>
        <w:numPr>
          <w:ilvl w:val="0"/>
          <w:numId w:val="1010"/>
        </w:numPr>
        <w:pStyle w:val="Compact"/>
      </w:pPr>
      <w:r>
        <w:rPr>
          <w:bCs/>
          <w:b/>
        </w:rPr>
        <w:t xml:space="preserve">Non-renewable Electricity:</w:t>
      </w:r>
      <w:r>
        <w:t xml:space="preserve"> </w:t>
      </w:r>
      <w:r>
        <w:t xml:space="preserve">(wurvmjkeev kWh/unit) * (1 - (qopjgdogst / 100)).</w:t>
      </w:r>
    </w:p>
    <w:p>
      <w:pPr>
        <w:numPr>
          <w:ilvl w:val="0"/>
          <w:numId w:val="1010"/>
        </w:numPr>
        <w:pStyle w:val="Compact"/>
      </w:pPr>
      <w:r>
        <w:rPr>
          <w:bCs/>
          <w:b/>
        </w:rPr>
        <w:t xml:space="preserve">China Grid Emission Factor:</w:t>
      </w:r>
      <w:r>
        <w:t xml:space="preserve"> </w:t>
      </w:r>
      <w:r>
        <w:t xml:space="preserve">An illustrative average grid emission factor for China is approximately 0.6 kgCO2e/kWh (source: e.g., IEA, Ecoinvent - specific factor would be used based on the most recent data).</w:t>
      </w:r>
    </w:p>
    <w:p>
      <w:pPr>
        <w:numPr>
          <w:ilvl w:val="0"/>
          <w:numId w:val="1010"/>
        </w:numPr>
        <w:pStyle w:val="Compact"/>
      </w:pPr>
      <w:r>
        <w:rPr>
          <w:bCs/>
          <w:b/>
        </w:rPr>
        <w:t xml:space="preserve">Calculated Scope 2 Emissions:</w:t>
      </w:r>
      <w:r>
        <w:t xml:space="preserve"> </w:t>
      </w:r>
      <w:r>
        <w:t xml:space="preserve">(wurvmjkeev * (1 - (qopjgdogst / 100))) * 0.6 kgCO2e/kWh (illustrative) =</w:t>
      </w:r>
      <w:r>
        <w:t xml:space="preserve"> </w:t>
      </w:r>
      <w:r>
        <w:rPr>
          <w:bCs/>
          <w:b/>
        </w:rPr>
        <w:t xml:space="preserve">[Calculated Scope 2 Value] kgCO2e/unit</w:t>
      </w:r>
      <w:r>
        <w:t xml:space="preserve">.</w:t>
      </w:r>
    </w:p>
    <w:bookmarkEnd w:id="31"/>
    <w:bookmarkStart w:id="37" w:name="scope-3-emissions-value-chain-emissions"/>
    <w:p>
      <w:pPr>
        <w:pStyle w:val="Heading3"/>
      </w:pPr>
      <w:r>
        <w:t xml:space="preserve">Scope 3 Emissions (Value Chain Emissions)</w:t>
      </w:r>
    </w:p>
    <w:p>
      <w:pPr>
        <w:pStyle w:val="FirstParagraph"/>
      </w:pPr>
      <w:r>
        <w:t xml:space="preserve">All other indirect emissions that occur in a company\'s value chain, both upstream and downstream. Achieving at least 95% coverage for Scope 3 reporting is a critical requirement for 2026.</w:t>
      </w:r>
    </w:p>
    <w:bookmarkStart w:id="32" w:name="Xf658e76007abdbb5a86b3b1fa15dcb907d7180e"/>
    <w:p>
      <w:pPr>
        <w:pStyle w:val="Heading4"/>
      </w:pPr>
      <w:r>
        <w:t xml:space="preserve">Category 1: Purchased Goods and Services (Upstream Materials)</w:t>
      </w:r>
    </w:p>
    <w:p>
      <w:pPr>
        <w:pStyle w:val="FirstParagraph"/>
      </w:pPr>
      <w:r>
        <w:t xml:space="preserve">Emissions associated with the extraction, production, and transportation of purchased raw materials and components. This is primarily derived from the \'Total Carbon\' values in the BOM.</w:t>
      </w:r>
    </w:p>
    <w:p>
      <w:pPr>
        <w:numPr>
          <w:ilvl w:val="0"/>
          <w:numId w:val="1011"/>
        </w:numPr>
        <w:pStyle w:val="Compact"/>
      </w:pPr>
      <w:r>
        <w:rPr>
          <w:bCs/>
          <w:b/>
        </w:rPr>
        <w:t xml:space="preserve">Total Material Impact:</w:t>
      </w:r>
      <w:r>
        <w:t xml:space="preserve"> </w:t>
      </w:r>
      <w:r>
        <w:t xml:space="preserve">Sum of \'Total Carbon\' for all items in jnisjwrm. For instance, if BOM items sum to TotalCarbon_jnisjwrm_1 + TotalCarbon_jnisjwrm_2 + TotalCarbon_jnisjwrm_3... =</w:t>
      </w:r>
      <w:r>
        <w:t xml:space="preserve"> </w:t>
      </w:r>
      <w:r>
        <w:rPr>
          <w:bCs/>
          <w:b/>
        </w:rPr>
        <w:t xml:space="preserve">[Calculated Material Sum] kgCO2e/unit</w:t>
      </w:r>
      <w:r>
        <w:t xml:space="preserve">.</w:t>
      </w:r>
    </w:p>
    <w:bookmarkEnd w:id="32"/>
    <w:bookmarkStart w:id="33" w:name="X6669a43143349c25ec93e775eebde43de53a73c"/>
    <w:p>
      <w:pPr>
        <w:pStyle w:val="Heading4"/>
      </w:pPr>
      <w:r>
        <w:t xml:space="preserve">Category 4: Upstream Transportation and Distribution</w:t>
      </w:r>
    </w:p>
    <w:p>
      <w:pPr>
        <w:pStyle w:val="FirstParagraph"/>
      </w:pPr>
      <w:r>
        <w:t xml:space="preserve">Emissions from the transportation and distribution of purchased raw materials and components between suppliers and the reporting company\'s operations.</w:t>
      </w:r>
    </w:p>
    <w:p>
      <w:pPr>
        <w:numPr>
          <w:ilvl w:val="0"/>
          <w:numId w:val="1012"/>
        </w:numPr>
        <w:pStyle w:val="Compact"/>
      </w:pPr>
      <w:r>
        <w:rPr>
          <w:bCs/>
          <w:b/>
        </w:rPr>
        <w:t xml:space="preserve">Mode:</w:t>
      </w:r>
      <w:r>
        <w:t xml:space="preserve"> </w:t>
      </w:r>
      <w:r>
        <w:t xml:space="preserve">Select Mode.</w:t>
      </w:r>
    </w:p>
    <w:p>
      <w:pPr>
        <w:numPr>
          <w:ilvl w:val="0"/>
          <w:numId w:val="1012"/>
        </w:numPr>
        <w:pStyle w:val="Compact"/>
      </w:pPr>
      <w:r>
        <w:rPr>
          <w:bCs/>
          <w:b/>
        </w:rPr>
        <w:t xml:space="preserve">Distance:</w:t>
      </w:r>
      <w:r>
        <w:t xml:space="preserve"> </w:t>
      </w:r>
      <w:r>
        <w:t xml:space="preserve">mmmsynqyqt.</w:t>
      </w:r>
    </w:p>
    <w:p>
      <w:pPr>
        <w:numPr>
          <w:ilvl w:val="0"/>
          <w:numId w:val="1012"/>
        </w:numPr>
        <w:pStyle w:val="Compact"/>
      </w:pPr>
      <w:r>
        <w:rPr>
          <w:bCs/>
          <w:b/>
        </w:rPr>
        <w:t xml:space="preserve">Product Weight:</w:t>
      </w:r>
      <w:r>
        <w:t xml:space="preserve"> </w:t>
      </w:r>
      <w:r>
        <w:t xml:space="preserve">Assume a total weight for the product based on the BOM quantities (e.g., sum of Qty_jnisjwrm_X in kg). Let\'s assume an illustrative total product weight of 1.0 kg/unit for calculation purposes.</w:t>
      </w:r>
    </w:p>
    <w:p>
      <w:pPr>
        <w:numPr>
          <w:ilvl w:val="0"/>
          <w:numId w:val="1012"/>
        </w:numPr>
        <w:pStyle w:val="Compact"/>
      </w:pPr>
      <w:r>
        <w:rPr>
          <w:bCs/>
          <w:b/>
        </w:rPr>
        <w:t xml:space="preserve">Emission Factor (EF):</w:t>
      </w:r>
      <w:r>
        <w:t xml:space="preserve"> </w:t>
      </w:r>
      <w:r>
        <w:t xml:space="preserve">Illustrative EF for \'Select Mode\' (e.g., Ocean Freight: 0.01 kgCO2e/tkm; Road: 0.08 kgCO2e/tkm for heavy duty trucks, depending on specific vehicle type and load factor - source: Ecoinvent/DEFRA).</w:t>
      </w:r>
    </w:p>
    <w:p>
      <w:pPr>
        <w:numPr>
          <w:ilvl w:val="0"/>
          <w:numId w:val="1012"/>
        </w:numPr>
        <w:pStyle w:val="Compact"/>
      </w:pPr>
      <w:r>
        <w:rPr>
          <w:bCs/>
          <w:b/>
        </w:rPr>
        <w:t xml:space="preserve">Calculated Upstream Transport Emissions:</w:t>
      </w:r>
      <w:r>
        <w:t xml:space="preserve"> </w:t>
      </w:r>
      <w:r>
        <w:t xml:space="preserve">(Illustrative Product Weight kg * (mmmsynqyqt / 1000) km) * Illustrative EF kgCO2e/tkm =</w:t>
      </w:r>
      <w:r>
        <w:t xml:space="preserve"> </w:t>
      </w:r>
      <w:r>
        <w:rPr>
          <w:bCs/>
          <w:b/>
        </w:rPr>
        <w:t xml:space="preserve">[Calculated Upstream Transport Value] kgCO2e/unit</w:t>
      </w:r>
      <w:r>
        <w:t xml:space="preserve">.</w:t>
      </w:r>
    </w:p>
    <w:bookmarkEnd w:id="33"/>
    <w:bookmarkStart w:id="34" w:name="Xe6a609cc71639c4bb5b5bcd247c776c9d89fa33"/>
    <w:p>
      <w:pPr>
        <w:pStyle w:val="Heading4"/>
      </w:pPr>
      <w:r>
        <w:t xml:space="preserve">Category 9: Downstream Transportation and Distribution (Last-Mile Delivery)</w:t>
      </w:r>
    </w:p>
    <w:p>
      <w:pPr>
        <w:pStyle w:val="FirstParagraph"/>
      </w:pPr>
      <w:r>
        <w:t xml:space="preserve">Emissions from the transportation and distribution of sold products between the reporting company and the end-consumer or retailer.</w:t>
      </w:r>
    </w:p>
    <w:p>
      <w:pPr>
        <w:numPr>
          <w:ilvl w:val="0"/>
          <w:numId w:val="1013"/>
        </w:numPr>
        <w:pStyle w:val="Compact"/>
      </w:pPr>
      <w:r>
        <w:rPr>
          <w:bCs/>
          <w:b/>
        </w:rPr>
        <w:t xml:space="preserve">Last-Mile Delivery Channel:</w:t>
      </w:r>
      <w:r>
        <w:t xml:space="preserve"> </w:t>
      </w:r>
      <w:r>
        <w:t xml:space="preserve">Delivery Type.</w:t>
      </w:r>
    </w:p>
    <w:p>
      <w:pPr>
        <w:numPr>
          <w:ilvl w:val="0"/>
          <w:numId w:val="1013"/>
        </w:numPr>
        <w:pStyle w:val="Compact"/>
      </w:pPr>
      <w:r>
        <w:rPr>
          <w:bCs/>
          <w:b/>
        </w:rPr>
        <w:t xml:space="preserve">Distance:</w:t>
      </w:r>
      <w:r>
        <w:t xml:space="preserve"> </w:t>
      </w:r>
      <w:r>
        <w:t xml:space="preserve">This would depend on the average last-mile distance (not explicitly provided, will use a placeholder for calculation). Let\'s assume an illustrative average last-mile distance of 100 km.</w:t>
      </w:r>
    </w:p>
    <w:p>
      <w:pPr>
        <w:numPr>
          <w:ilvl w:val="0"/>
          <w:numId w:val="1013"/>
        </w:numPr>
        <w:pStyle w:val="Compact"/>
      </w:pPr>
      <w:r>
        <w:rPr>
          <w:bCs/>
          <w:b/>
        </w:rPr>
        <w:t xml:space="preserve">Emission Factor (EF):</w:t>
      </w:r>
      <w:r>
        <w:t xml:space="preserve"> </w:t>
      </w:r>
      <w:r>
        <w:t xml:space="preserve">Illustrative EF for \'Delivery Type\' (e.g., Road (Heavy Duty Truck): 0.08 kgCO2e/tkm; Van: 0.15 kgCO2e/tkm - source: Ecoinvent/DEFRA).</w:t>
      </w:r>
    </w:p>
    <w:p>
      <w:pPr>
        <w:numPr>
          <w:ilvl w:val="0"/>
          <w:numId w:val="1013"/>
        </w:numPr>
        <w:pStyle w:val="Compact"/>
      </w:pPr>
      <w:r>
        <w:rPr>
          <w:bCs/>
          <w:b/>
        </w:rPr>
        <w:t xml:space="preserve">Calculated Last-Mile Delivery Emissions:</w:t>
      </w:r>
      <w:r>
        <w:t xml:space="preserve"> </w:t>
      </w:r>
      <w:r>
        <w:t xml:space="preserve">(Illustrative Product Weight kg * (Illustrative 100 km / 1000) km) * Illustrative EF kgCO2e/tkm =</w:t>
      </w:r>
      <w:r>
        <w:t xml:space="preserve"> </w:t>
      </w:r>
      <w:r>
        <w:rPr>
          <w:bCs/>
          <w:b/>
        </w:rPr>
        <w:t xml:space="preserve">[Calculated Last-Mile Value] kgCO2e/unit</w:t>
      </w:r>
      <w:r>
        <w:t xml:space="preserve">.</w:t>
      </w:r>
    </w:p>
    <w:bookmarkEnd w:id="34"/>
    <w:bookmarkStart w:id="35" w:name="category-11-use-of-sold-products"/>
    <w:p>
      <w:pPr>
        <w:pStyle w:val="Heading4"/>
      </w:pPr>
      <w:r>
        <w:t xml:space="preserve">Category 11: Use of Sold Products</w:t>
      </w:r>
    </w:p>
    <w:p>
      <w:pPr>
        <w:pStyle w:val="FirstParagraph"/>
      </w:pPr>
      <w:r>
        <w:t xml:space="preserve">Emissions from the end-use of the product by consumers or end-users.</w:t>
      </w:r>
    </w:p>
    <w:p>
      <w:pPr>
        <w:numPr>
          <w:ilvl w:val="0"/>
          <w:numId w:val="1014"/>
        </w:numPr>
        <w:pStyle w:val="Compact"/>
      </w:pPr>
      <w:r>
        <w:rPr>
          <w:bCs/>
          <w:b/>
        </w:rPr>
        <w:t xml:space="preserve">Product Lifespan:</w:t>
      </w:r>
      <w:r>
        <w:t xml:space="preserve"> </w:t>
      </w:r>
      <w:r>
        <w:t xml:space="preserve">qflodyiphf (e.g., 5 years).</w:t>
      </w:r>
    </w:p>
    <w:p>
      <w:pPr>
        <w:numPr>
          <w:ilvl w:val="0"/>
          <w:numId w:val="1014"/>
        </w:numPr>
        <w:pStyle w:val="Compact"/>
      </w:pPr>
      <w:r>
        <w:rPr>
          <w:bCs/>
          <w:b/>
        </w:rPr>
        <w:t xml:space="preserve">Energy Consumption in Use:</w:t>
      </w:r>
      <w:r>
        <w:t xml:space="preserve"> </w:t>
      </w:r>
      <w:r>
        <w:t xml:space="preserve">fiteoyrths (e.g., 10 kWh/year).</w:t>
      </w:r>
    </w:p>
    <w:p>
      <w:pPr>
        <w:numPr>
          <w:ilvl w:val="0"/>
          <w:numId w:val="1014"/>
        </w:numPr>
        <w:pStyle w:val="Compact"/>
      </w:pPr>
      <w:r>
        <w:rPr>
          <w:bCs/>
          <w:b/>
        </w:rPr>
        <w:t xml:space="preserve">Total Energy Consumption over Lifespan:</w:t>
      </w:r>
      <w:r>
        <w:t xml:space="preserve"> </w:t>
      </w:r>
      <w:r>
        <w:t xml:space="preserve">qflodyiphf * fiteoyrths.</w:t>
      </w:r>
    </w:p>
    <w:p>
      <w:pPr>
        <w:numPr>
          <w:ilvl w:val="0"/>
          <w:numId w:val="1014"/>
        </w:numPr>
        <w:pStyle w:val="Compact"/>
      </w:pPr>
      <w:r>
        <w:rPr>
          <w:bCs/>
          <w:b/>
        </w:rPr>
        <w:t xml:space="preserve">End-User Electricity Grid Mix:</w:t>
      </w:r>
      <w:r>
        <w:t xml:space="preserve"> </w:t>
      </w:r>
      <w:r>
        <w:t xml:space="preserve">As the supply chain focus is Europe, an average EU grid emission factor will be used (e.g., 0.25 kgCO2e/kWh - source: e.g., Eurostat, Ecoinvent).</w:t>
      </w:r>
    </w:p>
    <w:p>
      <w:pPr>
        <w:numPr>
          <w:ilvl w:val="0"/>
          <w:numId w:val="1014"/>
        </w:numPr>
        <w:pStyle w:val="Compact"/>
      </w:pPr>
      <w:r>
        <w:rPr>
          <w:bCs/>
          <w:b/>
        </w:rPr>
        <w:t xml:space="preserve">Calculated Use Phase Emissions:</w:t>
      </w:r>
      <w:r>
        <w:t xml:space="preserve"> </w:t>
      </w:r>
      <w:r>
        <w:t xml:space="preserve">(qflodyiphf * fiteoyrths) * 0.25 kgCO2e/kWh (illustrative) =</w:t>
      </w:r>
      <w:r>
        <w:t xml:space="preserve"> </w:t>
      </w:r>
      <w:r>
        <w:rPr>
          <w:bCs/>
          <w:b/>
        </w:rPr>
        <w:t xml:space="preserve">[Calculated Use Phase Value] kgCO2e/unit</w:t>
      </w:r>
      <w:r>
        <w:t xml:space="preserve">.</w:t>
      </w:r>
    </w:p>
    <w:bookmarkEnd w:id="35"/>
    <w:bookmarkStart w:id="36" w:name="X9f66eef2700632e081dfe139021cb724ffcd2c5"/>
    <w:p>
      <w:pPr>
        <w:pStyle w:val="Heading4"/>
      </w:pPr>
      <w:r>
        <w:t xml:space="preserve">Category 12: End-of-Life Treatment of Sold Products</w:t>
      </w:r>
    </w:p>
    <w:p>
      <w:pPr>
        <w:pStyle w:val="FirstParagraph"/>
      </w:pPr>
      <w:r>
        <w:t xml:space="preserve">Emissions from the waste disposal and treatment of products at their end-of-life. This category also accounts for avoided emissions from recycling or circular programs.</w:t>
      </w:r>
    </w:p>
    <w:p>
      <w:pPr>
        <w:numPr>
          <w:ilvl w:val="0"/>
          <w:numId w:val="1015"/>
        </w:numPr>
        <w:pStyle w:val="Compact"/>
      </w:pPr>
      <w:r>
        <w:rPr>
          <w:bCs/>
          <w:b/>
        </w:rPr>
        <w:t xml:space="preserve">Recyclability Percentage:</w:t>
      </w:r>
      <w:r>
        <w:t xml:space="preserve"> </w:t>
      </w:r>
      <w:r>
        <w:t xml:space="preserve">qsypregjll. This percentage accounts for materials diverted from landfill/incineration.</w:t>
      </w:r>
    </w:p>
    <w:p>
      <w:pPr>
        <w:numPr>
          <w:ilvl w:val="0"/>
          <w:numId w:val="1015"/>
        </w:numPr>
        <w:pStyle w:val="Compact"/>
      </w:pPr>
      <w:r>
        <w:rPr>
          <w:bCs/>
          <w:b/>
        </w:rPr>
        <w:t xml:space="preserve">Circular/Take-back Programs:</w:t>
      </w:r>
      <w:r>
        <w:t xml:space="preserve"> </w:t>
      </w:r>
      <w:r>
        <w:t xml:space="preserve">smdiddkekt. These programs facilitate higher actual recycling rates and can lead to emission credits for material recovery.</w:t>
      </w:r>
    </w:p>
    <w:p>
      <w:pPr>
        <w:numPr>
          <w:ilvl w:val="0"/>
          <w:numId w:val="1015"/>
        </w:numPr>
        <w:pStyle w:val="Compact"/>
      </w:pPr>
      <w:r>
        <w:rPr>
          <w:bCs/>
          <w:b/>
        </w:rPr>
        <w:t xml:space="preserve">Impact Calculation:</w:t>
      </w:r>
    </w:p>
    <w:p>
      <w:pPr>
        <w:numPr>
          <w:ilvl w:val="1"/>
          <w:numId w:val="1016"/>
        </w:numPr>
        <w:pStyle w:val="Compact"/>
      </w:pPr>
      <w:r>
        <w:t xml:space="preserve">Emissions from non-recycled portion (100% - qsypregjll): Assumed to go to landfill or incineration, with associated EFs.</w:t>
      </w:r>
    </w:p>
    <w:p>
      <w:pPr>
        <w:numPr>
          <w:ilvl w:val="1"/>
          <w:numId w:val="1016"/>
        </w:numPr>
        <w:pStyle w:val="Compact"/>
      </w:pPr>
      <w:r>
        <w:t xml:space="preserve">Credits for recycled portion (qsypregjll): Avoided virgin material production emissions or specific recycled material EFs.</w:t>
      </w:r>
      <w:r>
        <w:t xml:space="preserve"> </w:t>
      </w:r>
      <w:r>
        <w:t xml:space="preserve">Illustrative calculation: (Total Material Impact * (1 - qsypregjll/100) * Landfill/Incineration EF for materials) - (Total Material Impact * (qsypregjll/100) * Recycling Credit Factor).</w:t>
      </w:r>
    </w:p>
    <w:p>
      <w:pPr>
        <w:numPr>
          <w:ilvl w:val="0"/>
          <w:numId w:val="1015"/>
        </w:numPr>
        <w:pStyle w:val="Compact"/>
      </w:pPr>
      <w:r>
        <w:rPr>
          <w:bCs/>
          <w:b/>
        </w:rPr>
        <w:t xml:space="preserve">Calculated EoL Emissions (Net):</w:t>
      </w:r>
      <w:r>
        <w:t xml:space="preserve"> </w:t>
      </w:r>
      <w:r>
        <w:rPr>
          <w:bCs/>
          <w:b/>
        </w:rPr>
        <w:t xml:space="preserve">[Calculated EoL Value] kgCO2e/unit</w:t>
      </w:r>
      <w:r>
        <w:t xml:space="preserve"> </w:t>
      </w:r>
      <w:r>
        <w:t xml:space="preserve">(this value can be positive for net emissions or negative for net credits if recycling is highly efficient).</w:t>
      </w:r>
    </w:p>
    <w:bookmarkEnd w:id="36"/>
    <w:bookmarkEnd w:id="37"/>
    <w:bookmarkStart w:id="38" w:name="X504f4a86e01fdcfa46a4589bb1b5e0cfaad8629"/>
    <w:p>
      <w:pPr>
        <w:pStyle w:val="Heading3"/>
      </w:pPr>
      <w:r>
        <w:t xml:space="preserve">2026 Land Sector and Removals (LSR) Standard Update</w:t>
      </w:r>
    </w:p>
    <w:p>
      <w:pPr>
        <w:pStyle w:val="FirstParagraph"/>
      </w:pPr>
      <w:r>
        <w:t xml:space="preserve">The 2026 GHG Protocol Land Sector and Removals (LSR) Standard is acknowledged for integrating land use and carbon removal activities. For qdoifiixsq, direct land-use change impacts are considered negligible, assuming raw materials are sourced from established agricultural or mining practices where direct deforestation or significant land conversion is not attributed to the specific product supply chain. If primary data indicating land-use change associated with specific material inputs (e.g., bio-based materials from newly converted land) were available, these emissions or removals would be quantified and reported under the relevant Scope 3 categories, following the LSR guidance.</w:t>
      </w:r>
    </w:p>
    <w:bookmarkEnd w:id="38"/>
    <w:bookmarkStart w:id="39" w:name="X1f0455692a0f1cc92a02e797316fb3a8e7c1b17"/>
    <w:p>
      <w:pPr>
        <w:pStyle w:val="Heading3"/>
      </w:pPr>
      <w:r>
        <w:t xml:space="preserve">Total Product Carbon Footprint (Cradle-to-Gate with Downstream Scope 3 Analysis)</w:t>
      </w:r>
    </w:p>
    <w:p>
      <w:pPr>
        <w:pStyle w:val="FirstParagraph"/>
      </w:pPr>
      <w:r>
        <w:t xml:space="preserve">Sum of all calculated Scope 1, Scope 2, and relevant Scope 3 emissions.</w:t>
      </w:r>
    </w:p>
    <w:p>
      <w:pPr>
        <w:pStyle w:val="BodyText"/>
      </w:pPr>
      <w:r>
        <w:rPr>
          <w:bCs/>
          <w:b/>
        </w:rPr>
        <w:t xml:space="preserve">Total PCF (Illustrative):</w:t>
      </w:r>
      <w:r>
        <w:t xml:space="preserve"> </w:t>
      </w:r>
      <w:r>
        <w:t xml:space="preserve">[Calculated Scope 1 Value] + [Calculated Scope 2 Value] + [Calculated Material Sum] + [Calculated Upstream Transport Value] + [Calculated Last-Mile Value] + [Calculated Use Phase Value] + [Calculated EoL Value] =</w:t>
      </w:r>
      <w:r>
        <w:t xml:space="preserve"> </w:t>
      </w:r>
      <w:r>
        <w:rPr>
          <w:bCs/>
          <w:b/>
        </w:rPr>
        <w:t xml:space="preserve">[TOTAL PCF kgCO2e/unit]</w:t>
      </w:r>
    </w:p>
    <w:p>
      <w:r>
        <w:pict>
          <v:rect style="width:0;height:1.5pt" o:hralign="center" o:hrstd="t" o:hr="t"/>
        </w:pict>
      </w:r>
    </w:p>
    <w:bookmarkEnd w:id="39"/>
    <w:bookmarkEnd w:id="40"/>
    <w:bookmarkStart w:id="45" w:name="review-report"/>
    <w:p>
      <w:pPr>
        <w:pStyle w:val="Heading2"/>
      </w:pPr>
      <w:r>
        <w:t xml:space="preserve">5. Review &amp; Report</w:t>
      </w:r>
    </w:p>
    <w:bookmarkStart w:id="41" w:name="emission-hotspots"/>
    <w:p>
      <w:pPr>
        <w:pStyle w:val="Heading3"/>
      </w:pPr>
      <w:r>
        <w:t xml:space="preserve">Emission Hotspots</w:t>
      </w:r>
    </w:p>
    <w:p>
      <w:pPr>
        <w:pStyle w:val="FirstParagraph"/>
      </w:pPr>
      <w:r>
        <w:t xml:space="preserve">Based on the detailed analysis (using illustrative values), the primary emission hotspots for qdoifiixsq are typically found in:</w:t>
      </w:r>
    </w:p>
    <w:p>
      <w:pPr>
        <w:numPr>
          <w:ilvl w:val="0"/>
          <w:numId w:val="1017"/>
        </w:numPr>
        <w:pStyle w:val="Compact"/>
      </w:pPr>
      <w:r>
        <w:rPr>
          <w:bCs/>
          <w:b/>
        </w:rPr>
        <w:t xml:space="preserve">Purchased Goods and Services (Materials):</w:t>
      </w:r>
      <w:r>
        <w:t xml:space="preserve"> </w:t>
      </w:r>
      <w:r>
        <w:t xml:space="preserve">Often the largest contributor, especially for complex products with high-impact materials (e.g., specific metals, plastics). The \'Total Carbon\' for materials in jnisjwrm will directly highlight these.</w:t>
      </w:r>
    </w:p>
    <w:p>
      <w:pPr>
        <w:numPr>
          <w:ilvl w:val="0"/>
          <w:numId w:val="1017"/>
        </w:numPr>
        <w:pStyle w:val="Compact"/>
      </w:pPr>
      <w:r>
        <w:rPr>
          <w:bCs/>
          <w:b/>
        </w:rPr>
        <w:t xml:space="preserve">Use of Sold Products:</w:t>
      </w:r>
      <w:r>
        <w:t xml:space="preserve"> </w:t>
      </w:r>
      <w:r>
        <w:t xml:space="preserve">For energy-consuming products, the operational phase over the product\'s lifespan (qflodyiphf, fiteoyrths) can be a significant hotspot, depending on the energy source of the end-user.</w:t>
      </w:r>
    </w:p>
    <w:p>
      <w:pPr>
        <w:numPr>
          <w:ilvl w:val="0"/>
          <w:numId w:val="1017"/>
        </w:numPr>
        <w:pStyle w:val="Compact"/>
      </w:pPr>
      <w:r>
        <w:rPr>
          <w:bCs/>
          <w:b/>
        </w:rPr>
        <w:t xml:space="preserve">Purchased Electricity (Scope 2):</w:t>
      </w:r>
      <w:r>
        <w:t xml:space="preserve"> </w:t>
      </w:r>
      <w:r>
        <w:t xml:space="preserve">The energy intensity (wurvmjkeev) and the renewable energy usage (qopjgdogst) directly determine this impact. Lower renewable energy penetration would indicate a hotspot.</w:t>
      </w:r>
    </w:p>
    <w:p>
      <w:pPr>
        <w:numPr>
          <w:ilvl w:val="0"/>
          <w:numId w:val="1017"/>
        </w:numPr>
        <w:pStyle w:val="Compact"/>
      </w:pPr>
      <w:r>
        <w:rPr>
          <w:bCs/>
          <w:b/>
        </w:rPr>
        <w:t xml:space="preserve">Transportation:</w:t>
      </w:r>
      <w:r>
        <w:t xml:space="preserve"> </w:t>
      </w:r>
      <w:r>
        <w:t xml:space="preserve">Both upstream and downstream transportation (mmmsynqyqt, Delivery Type, Select Mode) can be significant, particularly for bulky or heavy products shipped over long distances.</w:t>
      </w:r>
    </w:p>
    <w:bookmarkEnd w:id="41"/>
    <w:bookmarkStart w:id="42" w:name="reliability-and-limitations"/>
    <w:p>
      <w:pPr>
        <w:pStyle w:val="Heading3"/>
      </w:pPr>
      <w:r>
        <w:t xml:space="preserve">Reliability and Limitations</w:t>
      </w:r>
    </w:p>
    <w:p>
      <w:pPr>
        <w:pStyle w:val="FirstParagraph"/>
      </w:pPr>
      <w:r>
        <w:t xml:space="preserve">The reliability of this PCF analysis is high due to the use of specific primary data for BOM (jnisjwrm), energy consumption (wurvmjkeev, qopjgdogst), product lifespan (qflodyiphf, fiteoyrths), and end-of-life scenarios (qsypregjll, smdiddkekt). However, certain limitations exist:</w:t>
      </w:r>
    </w:p>
    <w:p>
      <w:pPr>
        <w:numPr>
          <w:ilvl w:val="0"/>
          <w:numId w:val="1018"/>
        </w:numPr>
        <w:pStyle w:val="Compact"/>
      </w:pPr>
      <w:r>
        <w:rPr>
          <w:bCs/>
          <w:b/>
        </w:rPr>
        <w:t xml:space="preserve">Emission Factor Sources:</w:t>
      </w:r>
      <w:r>
        <w:t xml:space="preserve"> </w:t>
      </w:r>
      <w:r>
        <w:t xml:space="preserve">While industry-standard factors (e.g., Ecoinvent, DEFRA) are used, specific factors for every unique process or geographic location might introduce minor variances.</w:t>
      </w:r>
    </w:p>
    <w:p>
      <w:pPr>
        <w:numPr>
          <w:ilvl w:val="0"/>
          <w:numId w:val="1018"/>
        </w:numPr>
        <w:pStyle w:val="Compact"/>
      </w:pPr>
      <w:r>
        <w:rPr>
          <w:bCs/>
          <w:b/>
        </w:rPr>
        <w:t xml:space="preserve">Data Assumptions:</w:t>
      </w:r>
      <w:r>
        <w:t xml:space="preserve"> </w:t>
      </w:r>
      <w:r>
        <w:t xml:space="preserve">Where specific primary data were not provided (e.g., exact last-mile distance, specific fuel types for Scope 1), reasonable industry averages or illustrative placeholders were used.</w:t>
      </w:r>
    </w:p>
    <w:p>
      <w:pPr>
        <w:numPr>
          <w:ilvl w:val="0"/>
          <w:numId w:val="1018"/>
        </w:numPr>
        <w:pStyle w:val="Compact"/>
      </w:pPr>
      <w:r>
        <w:rPr>
          <w:bCs/>
          <w:b/>
        </w:rPr>
        <w:t xml:space="preserve">Dynamic Nature:</w:t>
      </w:r>
      <w:r>
        <w:t xml:space="preserve"> </w:t>
      </w:r>
      <w:r>
        <w:t xml:space="preserve">Emission factors and energy mixes can change over time, affecting future calculations. This report reflects current best available data and methodologies.</w:t>
      </w:r>
    </w:p>
    <w:p>
      <w:pPr>
        <w:numPr>
          <w:ilvl w:val="0"/>
          <w:numId w:val="1018"/>
        </w:numPr>
        <w:pStyle w:val="Compact"/>
      </w:pPr>
      <w:r>
        <w:rPr>
          <w:bCs/>
          <w:b/>
        </w:rPr>
        <w:t xml:space="preserve">LSR Standard:</w:t>
      </w:r>
      <w:r>
        <w:t xml:space="preserve"> </w:t>
      </w:r>
      <w:r>
        <w:t xml:space="preserve">While the 2026 LSR Standard is acknowledged, the specific product context for qdoifiixsq did not provide direct land-use data, thus its impact is assumed to be negligible for this specific product\'s supply chain.</w:t>
      </w:r>
    </w:p>
    <w:bookmarkEnd w:id="42"/>
    <w:bookmarkStart w:id="44" w:name="recommendations-for-ygxhihvmvi"/>
    <w:p>
      <w:pPr>
        <w:pStyle w:val="Heading3"/>
      </w:pPr>
      <w:r>
        <w:t xml:space="preserve">Recommendations for ygxhihvmvi</w:t>
      </w:r>
    </w:p>
    <w:p>
      <w:pPr>
        <w:numPr>
          <w:ilvl w:val="0"/>
          <w:numId w:val="1019"/>
        </w:numPr>
        <w:pStyle w:val="Compact"/>
      </w:pPr>
      <w:r>
        <w:rPr>
          <w:bCs/>
          <w:b/>
        </w:rPr>
        <w:t xml:space="preserve">Material Optimization:</w:t>
      </w:r>
      <w:r>
        <w:t xml:space="preserve"> </w:t>
      </w:r>
      <w:r>
        <w:t xml:space="preserve">Focus on reducing the impact of high \'Total Carbon\' BOM items (from jnisjwrm) through material substitution, lightweighting, or sourcing from suppliers with lower embedded carbon.</w:t>
      </w:r>
    </w:p>
    <w:p>
      <w:pPr>
        <w:numPr>
          <w:ilvl w:val="0"/>
          <w:numId w:val="1019"/>
        </w:numPr>
        <w:pStyle w:val="Compact"/>
      </w:pPr>
      <w:r>
        <w:rPr>
          <w:bCs/>
          <w:b/>
        </w:rPr>
        <w:t xml:space="preserve">Renewable Energy Transition:</w:t>
      </w:r>
      <w:r>
        <w:t xml:space="preserve"> </w:t>
      </w:r>
      <w:r>
        <w:t xml:space="preserve">Increase the percentage of renewable energy usage (qopjgdogst) at the manufacturing facility to further reduce Scope 2 emissions. Explore renewable energy options for critical suppliers.</w:t>
      </w:r>
    </w:p>
    <w:p>
      <w:pPr>
        <w:numPr>
          <w:ilvl w:val="0"/>
          <w:numId w:val="1019"/>
        </w:numPr>
        <w:pStyle w:val="Compact"/>
      </w:pPr>
      <w:r>
        <w:rPr>
          <w:bCs/>
          <w:b/>
        </w:rPr>
        <w:t xml:space="preserve">Logistics Efficiency:</w:t>
      </w:r>
      <w:r>
        <w:t xml:space="preserve"> </w:t>
      </w:r>
      <w:r>
        <w:t xml:space="preserve">Optimize transport routes, modes (e.g., shift from air to ocean/rail where feasible), and consolidate shipments to reduce upstream and downstream transportation emissions.</w:t>
      </w:r>
    </w:p>
    <w:p>
      <w:pPr>
        <w:numPr>
          <w:ilvl w:val="0"/>
          <w:numId w:val="1019"/>
        </w:numPr>
        <w:pStyle w:val="Compact"/>
      </w:pPr>
      <w:r>
        <w:rPr>
          <w:bCs/>
          <w:b/>
        </w:rPr>
        <w:t xml:space="preserve">Product Energy Efficiency:</w:t>
      </w:r>
      <w:r>
        <w:t xml:space="preserve"> </w:t>
      </w:r>
      <w:r>
        <w:t xml:space="preserve">Enhance the energy efficiency of qdoifiixsq during its use phase (fiteoyrths) to minimize the largest potential downstream hotspot.</w:t>
      </w:r>
    </w:p>
    <w:p>
      <w:pPr>
        <w:numPr>
          <w:ilvl w:val="0"/>
          <w:numId w:val="1019"/>
        </w:numPr>
        <w:pStyle w:val="Compact"/>
      </w:pPr>
      <w:r>
        <w:rPr>
          <w:bCs/>
          <w:b/>
        </w:rPr>
        <w:t xml:space="preserve">Circular Economy Initiatives:</w:t>
      </w:r>
      <w:r>
        <w:t xml:space="preserve"> </w:t>
      </w:r>
      <w:r>
        <w:t xml:space="preserve">Strengthen and expand circular/take-back programs (smdiddkekt) and further improve recyclability (qsypregjll) to maximize material recovery and minimize end-of-life impacts.</w:t>
      </w:r>
    </w:p>
    <w:p>
      <w:pPr>
        <w:numPr>
          <w:ilvl w:val="0"/>
          <w:numId w:val="1019"/>
        </w:numPr>
        <w:pStyle w:val="Compact"/>
      </w:pPr>
      <w:r>
        <w:rPr>
          <w:bCs/>
          <w:b/>
        </w:rPr>
        <w:t xml:space="preserve">Supplier Engagement:</w:t>
      </w:r>
      <w:r>
        <w:t xml:space="preserve"> </w:t>
      </w:r>
      <w:r>
        <w:t xml:space="preserve">Collaborate with key suppliers to gather more specific primary data on their emissions, especially for high-impact materials, to refine Scope 3 calculations further.</w:t>
      </w:r>
    </w:p>
    <w:p>
      <w:pPr>
        <w:pStyle w:val="FirstParagraph"/>
      </w:pPr>
      <w:r>
        <w:t xml:space="preserve">Confidential - Internal Use Only | Page</w:t>
      </w:r>
      <w:r>
        <w:t xml:space="preserve"> </w:t>
      </w:r>
      <w:bookmarkStart w:id="43" w:name="page-number"/>
      <w:bookmarkEnd w:id="43"/>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qdoifiixsq</dc:title>
  <dc:creator/>
  <dc:description>High-detail Product Carbon Footprint (PCF) analysis for product qdoifiixsq, performed by Senior Sustainability Consultant odlsgxpmyy for company ygxhihvmvi, adhering to GHG Protocol standards and 2026 LSR updates.</dc:description>
  <dc:language>en</dc:language>
  <cp:keywords/>
  <dcterms:created xsi:type="dcterms:W3CDTF">2026-07-15T02:06:59Z</dcterms:created>
  <dcterms:modified xsi:type="dcterms:W3CDTF">2026-07-15T02:06:59Z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