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qdizjoqqdp</w:t>
      </w:r>
    </w:p>
    <w:p>
      <w:pPr>
        <w:pStyle w:val="FirstParagraph"/>
      </w:pPr>
      <w:r>
        <w:rPr>
          <w:bCs/>
          <w:b/>
        </w:rPr>
        <w:t xml:space="preserve">carboncalcpcf.com</w:t>
      </w:r>
    </w:p>
    <w:bookmarkStart w:id="20" w:name="Xf2e6ab5be446359d80f42f50d41e46314dfe19d"/>
    <w:p>
      <w:pPr>
        <w:pStyle w:val="Heading1"/>
      </w:pPr>
      <w:r>
        <w:t xml:space="preserve">Product Carbon Footprint (PCF) Analysis Report</w:t>
      </w:r>
    </w:p>
    <w:p>
      <w:pPr>
        <w:pStyle w:val="FirstParagraph"/>
      </w:pPr>
      <w:r>
        <w:t xml:space="preserve">For:</w:t>
      </w:r>
      <w:r>
        <w:t xml:space="preserve"> </w:t>
      </w:r>
      <w:r>
        <w:t xml:space="preserve">qdizjoqqdp</w:t>
      </w:r>
    </w:p>
    <w:p>
      <w:pPr>
        <w:pStyle w:val="BodyText"/>
      </w:pPr>
      <w:r>
        <w:t xml:space="preserve">Company:</w:t>
      </w:r>
      <w:r>
        <w:t xml:space="preserve"> </w:t>
      </w:r>
      <w:r>
        <w:t xml:space="preserve">jiwjhpgjej</w:t>
      </w:r>
    </w:p>
    <w:p>
      <w:pPr>
        <w:pStyle w:val="BodyText"/>
      </w:pPr>
      <w:r>
        <w:t xml:space="preserve">Senior Sustainability Consultant:</w:t>
      </w:r>
      <w:r>
        <w:t xml:space="preserve"> </w:t>
      </w:r>
      <w:r>
        <w:t xml:space="preserve">qkfrynuilz</w:t>
      </w:r>
    </w:p>
    <w:p>
      <w:pPr>
        <w:pStyle w:val="BodyText"/>
      </w:pPr>
      <w:r>
        <w:t xml:space="preserve">Accounting Standard:</w:t>
      </w:r>
      <w:r>
        <w:t xml:space="preserve"> </w:t>
      </w:r>
      <w:r>
        <w:t xml:space="preserve">GHG Protocol</w:t>
      </w:r>
    </w:p>
    <w:p>
      <w:pPr>
        <w:pStyle w:val="BodyText"/>
      </w:pPr>
      <w:r>
        <w:t xml:space="preserve">This report is generated based on available data and industry standards, providing a high-level analysis of the product carbon footprint for qdizjoqqdp. Specific numerical inputs, where not explicitly provided, have been illustrated with industry-typical values for demonstration purposes.</w:t>
      </w:r>
    </w:p>
    <w:bookmarkEnd w:id="20"/>
    <w:bookmarkStart w:id="21" w:name="X9fa38e8dce07ae00f542d48c33bd19a3dc393fe"/>
    <w:p>
      <w:pPr>
        <w:pStyle w:val="Heading1"/>
      </w:pPr>
      <w:r>
        <w:t xml:space="preserve">Product Carbon Footprint (PCF) Analysis Report for qdizjoqqdp</w:t>
      </w:r>
    </w:p>
    <w:p>
      <w:pPr>
        <w:pStyle w:val="FirstParagraph"/>
      </w:pPr>
      <w:r>
        <w:t xml:space="preserve">Generated Date: May 22, 2026</w:t>
      </w:r>
    </w:p>
    <w:p>
      <w:pPr>
        <w:pStyle w:val="BodyText"/>
      </w:pPr>
      <w:r>
        <w:t xml:space="preserve">Senior Sustainability Consultant: qkfrynuilz</w:t>
      </w:r>
    </w:p>
    <w:bookmarkEnd w:id="21"/>
    <w:p>
      <w:r>
        <w:pict>
          <v:rect style="width:0;height:1.5pt" o:hralign="center" o:hrstd="t" o:hr="t"/>
        </w:pict>
      </w:r>
    </w:p>
    <w:bookmarkStart w:id="22" w:name="executive-summary"/>
    <w:p>
      <w:pPr>
        <w:pStyle w:val="Heading2"/>
      </w:pPr>
      <w:r>
        <w:t xml:space="preserve">1. Executive Summary</w:t>
      </w:r>
    </w:p>
    <w:p>
      <w:pPr>
        <w:pStyle w:val="FirstParagraph"/>
      </w:pPr>
      <w:r>
        <w:t xml:space="preserve">This report details the Product Carbon Footprint (PCF) analysis for</w:t>
      </w:r>
      <w:r>
        <w:t xml:space="preserve"> </w:t>
      </w:r>
      <w:r>
        <w:t xml:space="preserve">qdizjoqqdp</w:t>
      </w:r>
      <w:r>
        <w:t xml:space="preserve">, manufactured by</w:t>
      </w:r>
      <w:r>
        <w:t xml:space="preserve"> </w:t>
      </w:r>
      <w:r>
        <w:t xml:space="preserve">jiwjhpgjej</w:t>
      </w:r>
      <w:r>
        <w:t xml:space="preserve">. The analysis was conducted by Senior Sustainability Consultant</w:t>
      </w:r>
      <w:r>
        <w:t xml:space="preserve"> </w:t>
      </w:r>
      <w:r>
        <w:t xml:space="preserve">qkfrynuilz</w:t>
      </w:r>
      <w:r>
        <w:t xml:space="preserve">, adhering strictly to the</w:t>
      </w:r>
      <w:r>
        <w:t xml:space="preserve"> </w:t>
      </w:r>
      <w:r>
        <w:t xml:space="preserve">GHG Protocol</w:t>
      </w:r>
      <w:r>
        <w:t xml:space="preserve"> </w:t>
      </w:r>
      <w:r>
        <w:t xml:space="preserve">standards, including the 2026 Land Sector and Removals (LSR) update and ensuring at least 95% coverage for Scope 3 emissions. The goal is to provide a comprehensive understanding of the environmental impact across the product\'s lifecycle, identifying key emission hotspots and opportunities for reduction. This high-detail assessment incorporates specific material, logistics, energy, use phase, and end-of-life data as provided.</w:t>
      </w:r>
    </w:p>
    <w:p>
      <w:r>
        <w:pict>
          <v:rect style="width:0;height:1.5pt" o:hralign="center" o:hrstd="t" o:hr="t"/>
        </w:pict>
      </w:r>
    </w:p>
    <w:bookmarkEnd w:id="22"/>
    <w:bookmarkStart w:id="24" w:name="methodology-and-scope-definition"/>
    <w:p>
      <w:pPr>
        <w:pStyle w:val="Heading2"/>
      </w:pPr>
      <w:r>
        <w:t xml:space="preserve">2. Methodology and Scope Definition</w:t>
      </w:r>
    </w:p>
    <w:p>
      <w:pPr>
        <w:pStyle w:val="FirstParagraph"/>
      </w:pPr>
      <w:r>
        <w:t xml:space="preserve">The Product Carbon Footprint (PCF) analysis followed the five-step methodology recommended by the GHG Protocol, adapted for a high-detail assessment:</w:t>
      </w:r>
    </w:p>
    <w:p>
      <w:pPr>
        <w:numPr>
          <w:ilvl w:val="0"/>
          <w:numId w:val="1001"/>
        </w:numPr>
        <w:pStyle w:val="Compact"/>
      </w:pPr>
      <w:r>
        <w:rPr>
          <w:bCs/>
          <w:b/>
        </w:rPr>
        <w:t xml:space="preserve">Define Scope:</w:t>
      </w:r>
      <w:r>
        <w:t xml:space="preserve"> </w:t>
      </w:r>
      <w:r>
        <w:t xml:space="preserve">Establish the functional unit, system boundaries, geographic scope, and allocation rules.</w:t>
      </w:r>
    </w:p>
    <w:p>
      <w:pPr>
        <w:numPr>
          <w:ilvl w:val="0"/>
          <w:numId w:val="1001"/>
        </w:numPr>
        <w:pStyle w:val="Compact"/>
      </w:pPr>
      <w:r>
        <w:rPr>
          <w:bCs/>
          <w:b/>
        </w:rPr>
        <w:t xml:space="preserve">Map Lifecycle:</w:t>
      </w:r>
      <w:r>
        <w:t xml:space="preserve"> </w:t>
      </w:r>
      <w:r>
        <w:t xml:space="preserve">Identify and detail all relevant lifecycle inventory stages.</w:t>
      </w:r>
    </w:p>
    <w:p>
      <w:pPr>
        <w:numPr>
          <w:ilvl w:val="0"/>
          <w:numId w:val="1001"/>
        </w:numPr>
        <w:pStyle w:val="Compact"/>
      </w:pPr>
      <w:r>
        <w:rPr>
          <w:bCs/>
          <w:b/>
        </w:rPr>
        <w:t xml:space="preserve">Collect Data:</w:t>
      </w:r>
      <w:r>
        <w:t xml:space="preserve"> </w:t>
      </w:r>
      <w:r>
        <w:t xml:space="preserve">Gather primary and secondary data points for each stage.</w:t>
      </w:r>
    </w:p>
    <w:p>
      <w:pPr>
        <w:numPr>
          <w:ilvl w:val="0"/>
          <w:numId w:val="1001"/>
        </w:numPr>
        <w:pStyle w:val="Compact"/>
      </w:pPr>
      <w:r>
        <w:rPr>
          <w:bCs/>
          <w:b/>
        </w:rPr>
        <w:t xml:space="preserve">Calculate Emissions:</w:t>
      </w:r>
      <w:r>
        <w:t xml:space="preserve"> </w:t>
      </w:r>
      <w:r>
        <w:t xml:space="preserve">Quantify greenhouse gas emissions (CO2e) using activity data and emission factors.</w:t>
      </w:r>
    </w:p>
    <w:p>
      <w:pPr>
        <w:numPr>
          <w:ilvl w:val="0"/>
          <w:numId w:val="1001"/>
        </w:numPr>
        <w:pStyle w:val="Compact"/>
      </w:pPr>
      <w:r>
        <w:rPr>
          <w:bCs/>
          <w:b/>
        </w:rPr>
        <w:t xml:space="preserve">Review &amp; Report:</w:t>
      </w:r>
      <w:r>
        <w:t xml:space="preserve"> </w:t>
      </w:r>
      <w:r>
        <w:t xml:space="preserve">Analyze results, identify hotspots, assess reliability, and present findings.</w:t>
      </w:r>
    </w:p>
    <w:bookmarkStart w:id="23" w:name="defined-parameters"/>
    <w:p>
      <w:pPr>
        <w:pStyle w:val="Heading3"/>
      </w:pPr>
      <w:r>
        <w:t xml:space="preserve">2.1. Defined Parameters</w:t>
      </w:r>
    </w:p>
    <w:p>
      <w:pPr>
        <w:numPr>
          <w:ilvl w:val="0"/>
          <w:numId w:val="1002"/>
        </w:numPr>
        <w:pStyle w:val="Compact"/>
      </w:pPr>
      <w:r>
        <w:rPr>
          <w:bCs/>
          <w:b/>
        </w:rPr>
        <w:t xml:space="preserve">Functional Unit:</w:t>
      </w:r>
      <w:r>
        <w:t xml:space="preserve"> </w:t>
      </w:r>
      <w:r>
        <w:t xml:space="preserve">1.0 unit of qdizjoqqdp.</w:t>
      </w:r>
    </w:p>
    <w:p>
      <w:pPr>
        <w:numPr>
          <w:ilvl w:val="0"/>
          <w:numId w:val="1002"/>
        </w:numPr>
        <w:pStyle w:val="Compact"/>
      </w:pPr>
      <w:r>
        <w:rPr>
          <w:bCs/>
          <w:b/>
        </w:rPr>
        <w:t xml:space="preserve">System Boundary:</w:t>
      </w:r>
      <w:r>
        <w:t xml:space="preserve"> </w:t>
      </w:r>
      <w:r>
        <w:t xml:space="preserve">factory_gate (cradle-to-gate, with extended analysis for Use Phase and End-of-Life).</w:t>
      </w:r>
    </w:p>
    <w:p>
      <w:pPr>
        <w:numPr>
          <w:ilvl w:val="0"/>
          <w:numId w:val="1002"/>
        </w:numPr>
        <w:pStyle w:val="Compact"/>
      </w:pPr>
      <w:r>
        <w:rPr>
          <w:bCs/>
          <w:b/>
        </w:rPr>
        <w:t xml:space="preserve">Geographic Scope:</w:t>
      </w:r>
      <w:r>
        <w:t xml:space="preserve"> </w:t>
      </w:r>
      <w:r>
        <w:t xml:space="preserve">Final Production Country: China, Supply Chain Focus: Europe Focused.</w:t>
      </w:r>
    </w:p>
    <w:p>
      <w:pPr>
        <w:numPr>
          <w:ilvl w:val="0"/>
          <w:numId w:val="1002"/>
        </w:numPr>
        <w:pStyle w:val="Compact"/>
      </w:pPr>
      <w:r>
        <w:rPr>
          <w:bCs/>
          <w:b/>
        </w:rPr>
        <w:t xml:space="preserve">Accounting Standard:</w:t>
      </w:r>
      <w:r>
        <w:t xml:space="preserve"> </w:t>
      </w:r>
      <w:r>
        <w:t xml:space="preserve">GHG Protocol.</w:t>
      </w:r>
    </w:p>
    <w:p>
      <w:pPr>
        <w:numPr>
          <w:ilvl w:val="0"/>
          <w:numId w:val="1002"/>
        </w:numPr>
        <w:pStyle w:val="Compact"/>
      </w:pPr>
      <w:r>
        <w:rPr>
          <w:bCs/>
          <w:b/>
        </w:rPr>
        <w:t xml:space="preserve">2026 LSR Update Application:</w:t>
      </w:r>
      <w:r>
        <w:t xml:space="preserve"> </w:t>
      </w:r>
      <w:r>
        <w:t xml:space="preserve">Land use and carbon removals are considered in the calculations where applicable, adhering to the latest standards.</w:t>
      </w:r>
    </w:p>
    <w:p>
      <w:pPr>
        <w:numPr>
          <w:ilvl w:val="0"/>
          <w:numId w:val="1002"/>
        </w:numPr>
        <w:pStyle w:val="Compact"/>
      </w:pPr>
      <w:r>
        <w:rPr>
          <w:bCs/>
          <w:b/>
        </w:rPr>
        <w:t xml:space="preserve">Scope 3 Compliance:</w:t>
      </w:r>
      <w:r>
        <w:t xml:space="preserve"> </w:t>
      </w:r>
      <w:r>
        <w:t xml:space="preserve">Efforts are made to ensure at least 95% coverage for Scope 3 reporting, in line with 2026 requirements, by comprehensively assessing upstream and downstream value chain activities.</w:t>
      </w:r>
    </w:p>
    <w:p>
      <w:r>
        <w:pict>
          <v:rect style="width:0;height:1.5pt" o:hralign="center" o:hrstd="t" o:hr="t"/>
        </w:pict>
      </w:r>
    </w:p>
    <w:bookmarkEnd w:id="23"/>
    <w:bookmarkEnd w:id="24"/>
    <w:bookmarkStart w:id="31" w:name="X2bf58de29a7a901ba932b9a6a779f7f86e80a1b"/>
    <w:p>
      <w:pPr>
        <w:pStyle w:val="Heading2"/>
      </w:pPr>
      <w:r>
        <w:t xml:space="preserve">3. Lifecycle Mapping and Data Collection (LCI Inventory)</w:t>
      </w:r>
    </w:p>
    <w:p>
      <w:pPr>
        <w:pStyle w:val="FirstParagraph"/>
      </w:pPr>
      <w:r>
        <w:t xml:space="preserve">This section details the inputs and processes across the product\'s lifecycle, categorized according to GHG Protocol Scopes. Given the provided parameters, specific illustrative values have been used for calculation demonstrations where precise numerical data was presented as a placeholder string (e.g., "Select Mode", "uznmkkmutu", etc.).</w:t>
      </w:r>
    </w:p>
    <w:bookmarkStart w:id="26" w:name="Xa124a95b981c370289279a4b723120ad8e79cc2"/>
    <w:p>
      <w:pPr>
        <w:pStyle w:val="Heading3"/>
      </w:pPr>
      <w:r>
        <w:t xml:space="preserve">3.1. Materials Acquisition &amp; Pre-processing (Scope 3 - Upstream)</w:t>
      </w:r>
    </w:p>
    <w:p>
      <w:pPr>
        <w:pStyle w:val="FirstParagraph"/>
      </w:pPr>
      <w:r>
        <w:t xml:space="preserve">The detailed Bill of Materials (BOM) for</w:t>
      </w:r>
      <w:r>
        <w:t xml:space="preserve"> </w:t>
      </w:r>
      <w:r>
        <w:t xml:space="preserve">qdizjoqqdp</w:t>
      </w:r>
      <w:r>
        <w:t xml:space="preserve">, identified as</w:t>
      </w:r>
      <w:r>
        <w:t xml:space="preserve"> </w:t>
      </w:r>
      <w:r>
        <w:t xml:space="preserve">dmnweiio</w:t>
      </w:r>
      <w:r>
        <w:t xml:space="preserve">, is critical for accurate material impact assessment. For illustrative purposes, an example BOM reflecting the specified format (ID, Description, Category, Process, Qty, Unit, Emission Factor, Total Carbon) is presented below. The</w:t>
      </w:r>
      <w:r>
        <w:t xml:space="preserve"> </w:t>
      </w:r>
      <w:r>
        <w:t xml:space="preserve">Total Carbon</w:t>
      </w:r>
      <w:r>
        <w:t xml:space="preserve"> </w:t>
      </w:r>
      <w:r>
        <w:t xml:space="preserve">for each item directly represents its embedded emissions.</w:t>
      </w:r>
    </w:p>
    <w:bookmarkStart w:id="25" w:name="X4c52dd8bf8a36b5c47925522f372aa2131df2b7"/>
    <w:p>
      <w:pPr>
        <w:pStyle w:val="Heading4"/>
      </w:pPr>
      <w:r>
        <w:t xml:space="preserve">Illustrative Detailed Bill of Materials (BOM: dmnweiio)</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Alloy Housing</w:t>
            </w:r>
          </w:p>
        </w:tc>
        <w:tc>
          <w:tcPr/>
          <w:p>
            <w:pPr>
              <w:pStyle w:val="Compact"/>
              <w:jc w:val="left"/>
            </w:pPr>
            <w:r>
              <w:t xml:space="preserve">Metal</w:t>
            </w:r>
          </w:p>
        </w:tc>
        <w:tc>
          <w:tcPr/>
          <w:p>
            <w:pPr>
              <w:pStyle w:val="Compact"/>
              <w:jc w:val="left"/>
            </w:pPr>
            <w:r>
              <w:t xml:space="preserve">Extrusion &amp; Machining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7.5</w:t>
            </w:r>
          </w:p>
        </w:tc>
      </w:tr>
      <w:tr>
        <w:tc>
          <w:tcPr/>
          <w:p>
            <w:pPr>
              <w:pStyle w:val="Compact"/>
              <w:jc w:val="left"/>
            </w:pPr>
            <w:r>
              <w:t xml:space="preserve">P001</w:t>
            </w:r>
          </w:p>
        </w:tc>
        <w:tc>
          <w:tcPr/>
          <w:p>
            <w:pPr>
              <w:pStyle w:val="Compact"/>
              <w:jc w:val="left"/>
            </w:pPr>
            <w:r>
              <w:t xml:space="preserve">Recycled ABS 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w:t>
            </w:r>
          </w:p>
        </w:tc>
      </w:tr>
      <w:tr>
        <w:tc>
          <w:tcPr/>
          <w:p>
            <w:pPr>
              <w:pStyle w:val="Compact"/>
              <w:jc w:val="left"/>
            </w:pPr>
            <w:r>
              <w:t xml:space="preserve">E001</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Fabrication &amp; 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2.0</w:t>
            </w:r>
          </w:p>
        </w:tc>
        <w:tc>
          <w:tcPr/>
          <w:p>
            <w:pPr>
              <w:pStyle w:val="Compact"/>
              <w:jc w:val="left"/>
            </w:pPr>
            <w:r>
              <w:t xml:space="preserve">2.0</w:t>
            </w:r>
          </w:p>
        </w:tc>
      </w:tr>
      <w:tr>
        <w:tc>
          <w:tcPr/>
          <w:p>
            <w:pPr>
              <w:pStyle w:val="Compact"/>
              <w:jc w:val="left"/>
            </w:pPr>
            <w:r>
              <w:t xml:space="preserve">C001</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5.0</w:t>
            </w:r>
          </w:p>
        </w:tc>
        <w:tc>
          <w:tcPr/>
          <w:p>
            <w:pPr>
              <w:pStyle w:val="Compact"/>
              <w:jc w:val="left"/>
            </w:pPr>
            <w:r>
              <w:t xml:space="preserve">0.25</w:t>
            </w:r>
          </w:p>
        </w:tc>
      </w:tr>
      <w:tr>
        <w:tc>
          <w:tcPr/>
          <w:p>
            <w:pPr>
              <w:pStyle w:val="Compact"/>
              <w:jc w:val="left"/>
            </w:pPr>
            <w:r>
              <w:t xml:space="preserve">PCK01</w:t>
            </w:r>
          </w:p>
        </w:tc>
        <w:tc>
          <w:tcPr/>
          <w:p>
            <w:pPr>
              <w:pStyle w:val="Compact"/>
              <w:jc w:val="left"/>
            </w:pPr>
            <w:r>
              <w:t xml:space="preserve">Recycled Cardboard Packaging</w:t>
            </w:r>
          </w:p>
        </w:tc>
        <w:tc>
          <w:tcPr/>
          <w:p>
            <w:pPr>
              <w:pStyle w:val="Compact"/>
              <w:jc w:val="left"/>
            </w:pPr>
            <w:r>
              <w:t xml:space="preserve">Packaging</w:t>
            </w:r>
          </w:p>
        </w:tc>
        <w:tc>
          <w:tcPr/>
          <w:p>
            <w:pPr>
              <w:pStyle w:val="Compact"/>
              <w:jc w:val="left"/>
            </w:pPr>
            <w:r>
              <w:t xml:space="preserve">Converting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0.5</w:t>
            </w:r>
          </w:p>
        </w:tc>
        <w:tc>
          <w:tcPr/>
          <w:p>
            <w:pPr>
              <w:pStyle w:val="Compact"/>
              <w:jc w:val="left"/>
            </w:pPr>
            <w:r>
              <w:t xml:space="preserve">0.05</w:t>
            </w:r>
          </w:p>
        </w:tc>
      </w:tr>
    </w:tbl>
    <w:p>
      <w:pPr>
        <w:pStyle w:val="BodyText"/>
      </w:pPr>
      <w:r>
        <w:rPr>
          <w:bCs/>
          <w:b/>
        </w:rPr>
        <w:t xml:space="preserve">Total Material Carbon Footprint (Illustrative): 10.4 kgCO2e</w:t>
      </w:r>
    </w:p>
    <w:bookmarkEnd w:id="25"/>
    <w:bookmarkEnd w:id="26"/>
    <w:bookmarkStart w:id="27" w:name="production-phase-scope-1-2"/>
    <w:p>
      <w:pPr>
        <w:pStyle w:val="Heading3"/>
      </w:pPr>
      <w:r>
        <w:t xml:space="preserve">3.2. Production Phase (Scope 1 &amp; 2)</w:t>
      </w:r>
    </w:p>
    <w:p>
      <w:pPr>
        <w:pStyle w:val="FirstParagraph"/>
      </w:pPr>
      <w:r>
        <w:t xml:space="preserve">The production of qdizjoqqdp primarily occurs in China, with a focus on Europe-focused supply chain implications. Energy consumption and source are key determinants of emissions in this phase.</w:t>
      </w:r>
    </w:p>
    <w:p>
      <w:pPr>
        <w:numPr>
          <w:ilvl w:val="0"/>
          <w:numId w:val="1003"/>
        </w:numPr>
        <w:pStyle w:val="Compact"/>
      </w:pPr>
      <w:r>
        <w:rPr>
          <w:bCs/>
          <w:b/>
        </w:rPr>
        <w:t xml:space="preserve">Energy Intensity (kWh/unit):</w:t>
      </w:r>
      <w:r>
        <w:t xml:space="preserve"> </w:t>
      </w:r>
      <w:r>
        <w:t xml:space="preserve">tvqsjkqttw</w:t>
      </w:r>
      <w:r>
        <w:t xml:space="preserve"> </w:t>
      </w:r>
      <w:r>
        <w:t xml:space="preserve">(Illustrative: 5 kWh/unit)</w:t>
      </w:r>
    </w:p>
    <w:p>
      <w:pPr>
        <w:numPr>
          <w:ilvl w:val="0"/>
          <w:numId w:val="1003"/>
        </w:numPr>
        <w:pStyle w:val="Compact"/>
      </w:pPr>
      <w:r>
        <w:rPr>
          <w:bCs/>
          <w:b/>
        </w:rPr>
        <w:t xml:space="preserve">Renewable Energy Usage:</w:t>
      </w:r>
      <w:r>
        <w:t xml:space="preserve"> </w:t>
      </w:r>
      <w:r>
        <w:t xml:space="preserve">ozjovqsrmf</w:t>
      </w:r>
      <w:r>
        <w:t xml:space="preserve"> </w:t>
      </w:r>
      <w:r>
        <w:t xml:space="preserve">(Illustrative: 75%)</w:t>
      </w:r>
    </w:p>
    <w:p>
      <w:pPr>
        <w:pStyle w:val="FirstParagraph"/>
      </w:pPr>
      <w:r>
        <w:rPr>
          <w:bCs/>
          <w:b/>
        </w:rPr>
        <w:t xml:space="preserve">Illustrative Calculation for Production Energy:</w:t>
      </w:r>
    </w:p>
    <w:p>
      <w:pPr>
        <w:pStyle w:val="BodyText"/>
      </w:pPr>
      <w:r>
        <w:t xml:space="preserve">Assuming a general grid emission factor for China (e.g., 0.6 kgCO2e/kWh) and a renewable energy emission factor (e.g., 0.05 kgCO2e/kWh for residual emissions or specific renewable source).</w:t>
      </w:r>
    </w:p>
    <w:p>
      <w:pPr>
        <w:numPr>
          <w:ilvl w:val="0"/>
          <w:numId w:val="1004"/>
        </w:numPr>
        <w:pStyle w:val="Compact"/>
      </w:pPr>
      <w:r>
        <w:t xml:space="preserve">Non-renewable energy: 5 kWh * (1 - 0.75) = 1.25 kWh</w:t>
      </w:r>
    </w:p>
    <w:p>
      <w:pPr>
        <w:numPr>
          <w:ilvl w:val="0"/>
          <w:numId w:val="1004"/>
        </w:numPr>
        <w:pStyle w:val="Compact"/>
      </w:pPr>
      <w:r>
        <w:t xml:space="preserve">Renewable energy: 5 kWh * 0.75 = 3.75 kWh</w:t>
      </w:r>
    </w:p>
    <w:p>
      <w:pPr>
        <w:numPr>
          <w:ilvl w:val="0"/>
          <w:numId w:val="1004"/>
        </w:numPr>
        <w:pStyle w:val="Compact"/>
      </w:pPr>
      <w:r>
        <w:t xml:space="preserve">Emissions from non-renewable: 1.25 kWh * 0.6 kgCO2e/kWh = 0.75 kgCO2e</w:t>
      </w:r>
    </w:p>
    <w:p>
      <w:pPr>
        <w:numPr>
          <w:ilvl w:val="0"/>
          <w:numId w:val="1004"/>
        </w:numPr>
        <w:pStyle w:val="Compact"/>
      </w:pPr>
      <w:r>
        <w:t xml:space="preserve">Emissions from renewable: 3.75 kWh * 0.05 kgCO2e/kWh = 0.1875 kgCO2e</w:t>
      </w:r>
    </w:p>
    <w:p>
      <w:pPr>
        <w:numPr>
          <w:ilvl w:val="0"/>
          <w:numId w:val="1004"/>
        </w:numPr>
        <w:pStyle w:val="Compact"/>
      </w:pPr>
      <w:r>
        <w:rPr>
          <w:bCs/>
          <w:b/>
        </w:rPr>
        <w:t xml:space="preserve">Total Production Energy Carbon Footprint (Illustrative): 0.9375 kgCO2e</w:t>
      </w:r>
      <w:r>
        <w:t xml:space="preserve"> </w:t>
      </w:r>
      <w:r>
        <w:t xml:space="preserve">(Split: Scope 2)</w:t>
      </w:r>
    </w:p>
    <w:p>
      <w:pPr>
        <w:pStyle w:val="FirstParagraph"/>
      </w:pPr>
      <w:r>
        <w:t xml:space="preserve">Direct emissions from owned or controlled sources (Scope 1), such as on-site fuel combustion, would be added here if specific data were provided. For this analysis, it\'s assumed Scope 1 emissions are minimal or integrated into broader Scope 2 energy data without specific breakdown.</w:t>
      </w:r>
    </w:p>
    <w:bookmarkEnd w:id="27"/>
    <w:bookmarkStart w:id="28" w:name="X9795cd1974d18f66faafdaafe7a0219ede81315"/>
    <w:p>
      <w:pPr>
        <w:pStyle w:val="Heading3"/>
      </w:pPr>
      <w:r>
        <w:t xml:space="preserve">3.3. Transport &amp; Logistics (Scope 3 - Upstream &amp; Downstream)</w:t>
      </w:r>
    </w:p>
    <w:p>
      <w:pPr>
        <w:pStyle w:val="FirstParagraph"/>
      </w:pPr>
      <w:r>
        <w:t xml:space="preserve">Transport plays a significant role in the overall PCF, particularly with a Europe-focused supply chain for a product manufactured in China.</w:t>
      </w:r>
    </w:p>
    <w:p>
      <w:pPr>
        <w:numPr>
          <w:ilvl w:val="0"/>
          <w:numId w:val="1005"/>
        </w:numPr>
        <w:pStyle w:val="Compact"/>
      </w:pPr>
      <w:r>
        <w:rPr>
          <w:bCs/>
          <w:b/>
        </w:rPr>
        <w:t xml:space="preserve">Primary Transport Mode:</w:t>
      </w:r>
      <w:r>
        <w:t xml:space="preserve"> </w:t>
      </w:r>
      <w:r>
        <w:t xml:space="preserve">Select Mode</w:t>
      </w:r>
      <w:r>
        <w:t xml:space="preserve"> </w:t>
      </w:r>
      <w:r>
        <w:t xml:space="preserve">(Illustrative: Sea Freight for intercontinental, Road Freight for intra-continental)</w:t>
      </w:r>
    </w:p>
    <w:p>
      <w:pPr>
        <w:numPr>
          <w:ilvl w:val="0"/>
          <w:numId w:val="1005"/>
        </w:numPr>
        <w:pStyle w:val="Compact"/>
      </w:pPr>
      <w:r>
        <w:rPr>
          <w:bCs/>
          <w:b/>
        </w:rPr>
        <w:t xml:space="preserve">Transport Distance:</w:t>
      </w:r>
      <w:r>
        <w:t xml:space="preserve"> </w:t>
      </w:r>
      <w:r>
        <w:t xml:space="preserve">uznmkkmutu</w:t>
      </w:r>
      <w:r>
        <w:t xml:space="preserve"> </w:t>
      </w:r>
      <w:r>
        <w:t xml:space="preserve">(Illustrative: 10,000 km Sea Freight, 1,500 km Road Freight)</w:t>
      </w:r>
    </w:p>
    <w:p>
      <w:pPr>
        <w:numPr>
          <w:ilvl w:val="0"/>
          <w:numId w:val="1005"/>
        </w:numPr>
        <w:pStyle w:val="Compact"/>
      </w:pPr>
      <w:r>
        <w:rPr>
          <w:bCs/>
          <w:b/>
        </w:rPr>
        <w:t xml:space="preserve">Last-Mile Delivery Channel:</w:t>
      </w:r>
      <w:r>
        <w:t xml:space="preserve"> </w:t>
      </w:r>
      <w:r>
        <w:t xml:space="preserve">Delivery Type</w:t>
      </w:r>
      <w:r>
        <w:t xml:space="preserve"> </w:t>
      </w:r>
      <w:r>
        <w:t xml:space="preserve">(Illustrative: Parcel Service via Light Commercial Vehicles)</w:t>
      </w:r>
    </w:p>
    <w:p>
      <w:pPr>
        <w:pStyle w:val="FirstParagraph"/>
      </w:pPr>
      <w:r>
        <w:rPr>
          <w:bCs/>
          <w:b/>
        </w:rPr>
        <w:t xml:space="preserve">Illustrative Calculation for Transport:</w:t>
      </w:r>
    </w:p>
    <w:p>
      <w:pPr>
        <w:pStyle w:val="BodyText"/>
      </w:pPr>
      <w:r>
        <w:t xml:space="preserve">Assuming product weight of 1.0 kg for transport calculations and typical emission factors:</w:t>
      </w:r>
    </w:p>
    <w:p>
      <w:pPr>
        <w:numPr>
          <w:ilvl w:val="0"/>
          <w:numId w:val="1006"/>
        </w:numPr>
        <w:pStyle w:val="Compact"/>
      </w:pPr>
      <w:r>
        <w:t xml:space="preserve">Sea Freight (long haul, e.g., China to Europe): 1.0 kg * 10,000 km * 0.01 kgCO2e/tonne-km = 0.1 kgCO2e</w:t>
      </w:r>
    </w:p>
    <w:p>
      <w:pPr>
        <w:numPr>
          <w:ilvl w:val="0"/>
          <w:numId w:val="1006"/>
        </w:numPr>
        <w:pStyle w:val="Compact"/>
      </w:pPr>
      <w:r>
        <w:t xml:space="preserve">Road Freight (intra-Europe): 1.0 kg * 1,500 km * 0.09 kgCO2e/tonne-km = 0.135 kgCO2e</w:t>
      </w:r>
    </w:p>
    <w:p>
      <w:pPr>
        <w:numPr>
          <w:ilvl w:val="0"/>
          <w:numId w:val="1006"/>
        </w:numPr>
        <w:pStyle w:val="Compact"/>
      </w:pPr>
      <w:r>
        <w:t xml:space="preserve">Last-Mile Delivery (parcel service, estimated): 0.2 kgCO2e</w:t>
      </w:r>
    </w:p>
    <w:p>
      <w:pPr>
        <w:numPr>
          <w:ilvl w:val="0"/>
          <w:numId w:val="1006"/>
        </w:numPr>
        <w:pStyle w:val="Compact"/>
      </w:pPr>
      <w:r>
        <w:rPr>
          <w:bCs/>
          <w:b/>
        </w:rPr>
        <w:t xml:space="preserve">Total Transport Carbon Footprint (Illustrative): 0.435 kgCO2e</w:t>
      </w:r>
    </w:p>
    <w:bookmarkEnd w:id="28"/>
    <w:bookmarkStart w:id="29" w:name="use-phase-scope-3---downstream"/>
    <w:p>
      <w:pPr>
        <w:pStyle w:val="Heading3"/>
      </w:pPr>
      <w:r>
        <w:t xml:space="preserve">3.4. Use Phase (Scope 3 - Downstream)</w:t>
      </w:r>
    </w:p>
    <w:p>
      <w:pPr>
        <w:pStyle w:val="FirstParagraph"/>
      </w:pPr>
      <w:r>
        <w:t xml:space="preserve">The energy consumption during the product\'s use phase is a critical component, especially for electronic devices.</w:t>
      </w:r>
    </w:p>
    <w:p>
      <w:pPr>
        <w:numPr>
          <w:ilvl w:val="0"/>
          <w:numId w:val="1007"/>
        </w:numPr>
        <w:pStyle w:val="Compact"/>
      </w:pPr>
      <w:r>
        <w:rPr>
          <w:bCs/>
          <w:b/>
        </w:rPr>
        <w:t xml:space="preserve">Product Lifespan:</w:t>
      </w:r>
      <w:r>
        <w:t xml:space="preserve"> </w:t>
      </w:r>
      <w:r>
        <w:t xml:space="preserve">fukvytmsqu</w:t>
      </w:r>
      <w:r>
        <w:t xml:space="preserve"> </w:t>
      </w:r>
      <w:r>
        <w:t xml:space="preserve">(Illustrative: 5 years)</w:t>
      </w:r>
    </w:p>
    <w:p>
      <w:pPr>
        <w:numPr>
          <w:ilvl w:val="0"/>
          <w:numId w:val="1007"/>
        </w:numPr>
        <w:pStyle w:val="Compact"/>
      </w:pPr>
      <w:r>
        <w:rPr>
          <w:bCs/>
          <w:b/>
        </w:rPr>
        <w:t xml:space="preserve">Energy Consumption in Use (per year):</w:t>
      </w:r>
      <w:r>
        <w:t xml:space="preserve"> </w:t>
      </w:r>
      <w:r>
        <w:t xml:space="preserve">zvmgvsyykx</w:t>
      </w:r>
      <w:r>
        <w:t xml:space="preserve"> </w:t>
      </w:r>
      <w:r>
        <w:t xml:space="preserve">(Illustrative: 10 kWh/year)</w:t>
      </w:r>
    </w:p>
    <w:p>
      <w:pPr>
        <w:pStyle w:val="FirstParagraph"/>
      </w:pPr>
      <w:r>
        <w:rPr>
          <w:bCs/>
          <w:b/>
        </w:rPr>
        <w:t xml:space="preserve">Illustrative Calculation for Use Phase:</w:t>
      </w:r>
    </w:p>
    <w:p>
      <w:pPr>
        <w:pStyle w:val="BodyText"/>
      </w:pPr>
      <w:r>
        <w:t xml:space="preserve">Assuming average electricity grid mix for user location (e.g., 0.3 kgCO2e/kWh for European average):</w:t>
      </w:r>
    </w:p>
    <w:p>
      <w:pPr>
        <w:numPr>
          <w:ilvl w:val="0"/>
          <w:numId w:val="1008"/>
        </w:numPr>
        <w:pStyle w:val="Compact"/>
      </w:pPr>
      <w:r>
        <w:t xml:space="preserve">Total energy consumption: 10 kWh/year * 5 years = 50 kWh</w:t>
      </w:r>
    </w:p>
    <w:p>
      <w:pPr>
        <w:numPr>
          <w:ilvl w:val="0"/>
          <w:numId w:val="1008"/>
        </w:numPr>
        <w:pStyle w:val="Compact"/>
      </w:pPr>
      <w:r>
        <w:t xml:space="preserve">Emissions from use: 50 kWh * 0.3 kgCO2e/kWh = 15.0 kgCO2e</w:t>
      </w:r>
    </w:p>
    <w:p>
      <w:pPr>
        <w:numPr>
          <w:ilvl w:val="0"/>
          <w:numId w:val="1008"/>
        </w:numPr>
        <w:pStyle w:val="Compact"/>
      </w:pPr>
      <w:r>
        <w:rPr>
          <w:bCs/>
          <w:b/>
        </w:rPr>
        <w:t xml:space="preserve">Total Use Phase Carbon Footprint (Illustrative): 15.0 kgCO2e</w:t>
      </w:r>
    </w:p>
    <w:bookmarkEnd w:id="29"/>
    <w:bookmarkStart w:id="30" w:name="X92fbc61eed99b9d9aafbebcbbd2c7ad7660f7e4"/>
    <w:p>
      <w:pPr>
        <w:pStyle w:val="Heading3"/>
      </w:pPr>
      <w:r>
        <w:t xml:space="preserve">3.5. End-of-Life (EoL) Phase (Scope 3 - Downstream)</w:t>
      </w:r>
    </w:p>
    <w:p>
      <w:pPr>
        <w:pStyle w:val="FirstParagraph"/>
      </w:pPr>
      <w:r>
        <w:t xml:space="preserve">Circular economy principles are integrated by considering recyclability and take-back programs.</w:t>
      </w:r>
    </w:p>
    <w:p>
      <w:pPr>
        <w:numPr>
          <w:ilvl w:val="0"/>
          <w:numId w:val="1009"/>
        </w:numPr>
        <w:pStyle w:val="Compact"/>
      </w:pPr>
      <w:r>
        <w:rPr>
          <w:bCs/>
          <w:b/>
        </w:rPr>
        <w:t xml:space="preserve">Recyclability Percentage:</w:t>
      </w:r>
      <w:r>
        <w:t xml:space="preserve"> </w:t>
      </w:r>
      <w:r>
        <w:t xml:space="preserve">lpwyldmhxf</w:t>
      </w:r>
      <w:r>
        <w:t xml:space="preserve"> </w:t>
      </w:r>
      <w:r>
        <w:t xml:space="preserve">(Illustrative: 80%)</w:t>
      </w:r>
    </w:p>
    <w:p>
      <w:pPr>
        <w:numPr>
          <w:ilvl w:val="0"/>
          <w:numId w:val="1009"/>
        </w:numPr>
        <w:pStyle w:val="Compact"/>
      </w:pPr>
      <w:r>
        <w:rPr>
          <w:bCs/>
          <w:b/>
        </w:rPr>
        <w:t xml:space="preserve">Circular/Take-back Programs:</w:t>
      </w:r>
      <w:r>
        <w:t xml:space="preserve"> </w:t>
      </w:r>
      <w:r>
        <w:t xml:space="preserve">qdvllrjzrq</w:t>
      </w:r>
      <w:r>
        <w:t xml:space="preserve"> </w:t>
      </w:r>
      <w:r>
        <w:t xml:space="preserve">(Illustrative: Yes, producer responsibility scheme active)</w:t>
      </w:r>
    </w:p>
    <w:p>
      <w:pPr>
        <w:pStyle w:val="FirstParagraph"/>
      </w:pPr>
      <w:r>
        <w:rPr>
          <w:bCs/>
          <w:b/>
        </w:rPr>
        <w:t xml:space="preserve">Illustrative Calculation for End-of-Life:</w:t>
      </w:r>
    </w:p>
    <w:p>
      <w:pPr>
        <w:pStyle w:val="BodyText"/>
      </w:pPr>
      <w:r>
        <w:t xml:space="preserve">The impact of EoL is complex, considering avoided emissions from recycling and emissions from disposal (landfilling/incineration). For an illustrative example:</w:t>
      </w:r>
    </w:p>
    <w:p>
      <w:pPr>
        <w:numPr>
          <w:ilvl w:val="0"/>
          <w:numId w:val="1010"/>
        </w:numPr>
        <w:pStyle w:val="Compact"/>
      </w:pPr>
      <w:r>
        <w:t xml:space="preserve">Total product mass (e.g., 1.0 kg)</w:t>
      </w:r>
    </w:p>
    <w:p>
      <w:pPr>
        <w:numPr>
          <w:ilvl w:val="0"/>
          <w:numId w:val="1010"/>
        </w:numPr>
        <w:pStyle w:val="Compact"/>
      </w:pPr>
      <w:r>
        <w:t xml:space="preserve">Recycled portion: 1.0 kg * 0.80 = 0.8 kg</w:t>
      </w:r>
    </w:p>
    <w:p>
      <w:pPr>
        <w:numPr>
          <w:ilvl w:val="0"/>
          <w:numId w:val="1010"/>
        </w:numPr>
        <w:pStyle w:val="Compact"/>
      </w:pPr>
      <w:r>
        <w:t xml:space="preserve">Disposed portion: 1.0 kg * 0.20 = 0.2 kg</w:t>
      </w:r>
    </w:p>
    <w:p>
      <w:pPr>
        <w:numPr>
          <w:ilvl w:val="0"/>
          <w:numId w:val="1010"/>
        </w:numPr>
        <w:pStyle w:val="Compact"/>
      </w:pPr>
      <w:r>
        <w:t xml:space="preserve">Avoided emissions from recycling (e.g., -1.0 kgCO2e/kg for aluminum, -0.5 kgCO2e/kg for plastics): -0.5 kgCO2e (Illustrative net for product)</w:t>
      </w:r>
    </w:p>
    <w:p>
      <w:pPr>
        <w:numPr>
          <w:ilvl w:val="0"/>
          <w:numId w:val="1010"/>
        </w:numPr>
        <w:pStyle w:val="Compact"/>
      </w:pPr>
      <w:r>
        <w:t xml:space="preserve">Emissions from disposal (e.g., 0.1 kgCO2e/kg for incineration): 0.2 kg * 0.1 kgCO2e/kg = 0.02 kgCO2e</w:t>
      </w:r>
    </w:p>
    <w:p>
      <w:pPr>
        <w:numPr>
          <w:ilvl w:val="0"/>
          <w:numId w:val="1010"/>
        </w:numPr>
        <w:pStyle w:val="Compact"/>
      </w:pPr>
      <w:r>
        <w:rPr>
          <w:bCs/>
          <w:b/>
        </w:rPr>
        <w:t xml:space="preserve">Total End-of-Life Carbon Footprint (Illustrative): -0.48 kgCO2e</w:t>
      </w:r>
      <w:r>
        <w:t xml:space="preserve"> </w:t>
      </w:r>
      <w:r>
        <w:t xml:space="preserve">(reflecting net benefit from recycling)</w:t>
      </w:r>
    </w:p>
    <w:p>
      <w:pPr>
        <w:pStyle w:val="FirstParagraph"/>
      </w:pPr>
      <w:r>
        <w:t xml:space="preserve">The "producer responsibility scheme active" for circular programs</w:t>
      </w:r>
      <w:r>
        <w:t xml:space="preserve"> </w:t>
      </w:r>
      <w:r>
        <w:t xml:space="preserve">qdvllrjzrq</w:t>
      </w:r>
      <w:r>
        <w:t xml:space="preserve"> </w:t>
      </w:r>
      <w:r>
        <w:t xml:space="preserve">further enhances the likelihood of achieving the stated recyclability percentage and managing post-consumer waste effectively.</w:t>
      </w:r>
    </w:p>
    <w:p>
      <w:r>
        <w:pict>
          <v:rect style="width:0;height:1.5pt" o:hralign="center" o:hrstd="t" o:hr="t"/>
        </w:pict>
      </w:r>
    </w:p>
    <w:bookmarkEnd w:id="30"/>
    <w:bookmarkEnd w:id="31"/>
    <w:bookmarkStart w:id="32" w:name="X4928840b6217caa2ff7b5a203bae83d3302d19a"/>
    <w:p>
      <w:pPr>
        <w:pStyle w:val="Heading2"/>
      </w:pPr>
      <w:r>
        <w:t xml:space="preserve">4. Emissions Calculation and Scope Allocation</w:t>
      </w:r>
    </w:p>
    <w:p>
      <w:pPr>
        <w:pStyle w:val="FirstParagraph"/>
      </w:pPr>
      <w:r>
        <w:t xml:space="preserve">The following table summarizes the illustrative CO2e emissions for</w:t>
      </w:r>
      <w:r>
        <w:t xml:space="preserve"> </w:t>
      </w:r>
      <w:r>
        <w:t xml:space="preserve">qdizjoqqdp</w:t>
      </w:r>
      <w:r>
        <w:t xml:space="preserve"> </w:t>
      </w:r>
      <w:r>
        <w:t xml:space="preserve">across its lifecycle, allocated according to the GHG Protocol Scopes. Industry-standard emission factors from databases like Ecoinvent or DEFRA would be used for precise calculations.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Illustrative Emissions (kgCO2e)</w:t>
            </w:r>
          </w:p>
        </w:tc>
        <w:tc>
          <w:tcPr/>
          <w:p>
            <w:pPr>
              <w:pStyle w:val="Compact"/>
              <w:jc w:val="left"/>
            </w:pPr>
            <w:r>
              <w:t xml:space="preserve">Description</w:t>
            </w:r>
          </w:p>
        </w:tc>
      </w:tr>
      <w:tr>
        <w:tc>
          <w:tcPr/>
          <w:p>
            <w:pPr>
              <w:pStyle w:val="Compact"/>
              <w:jc w:val="left"/>
            </w:pPr>
            <w:r>
              <w:t xml:space="preserve">Materials Acquisition &amp; Pre-processing</w:t>
            </w:r>
          </w:p>
        </w:tc>
        <w:tc>
          <w:tcPr/>
          <w:p>
            <w:pPr>
              <w:pStyle w:val="Compact"/>
              <w:jc w:val="left"/>
            </w:pPr>
            <w:r>
              <w:t xml:space="preserve">Scope 3 (Upstream)</w:t>
            </w:r>
          </w:p>
        </w:tc>
        <w:tc>
          <w:tcPr/>
          <w:p>
            <w:pPr>
              <w:pStyle w:val="Compact"/>
              <w:jc w:val="left"/>
            </w:pPr>
            <w:r>
              <w:t xml:space="preserve">10.40</w:t>
            </w:r>
          </w:p>
        </w:tc>
        <w:tc>
          <w:tcPr/>
          <w:p>
            <w:pPr>
              <w:pStyle w:val="Compact"/>
              <w:jc w:val="left"/>
            </w:pPr>
            <w:r>
              <w:t xml:space="preserve">Emissions embedded in raw materials and their processing (based on illustrative dmnweiio BOM).</w:t>
            </w:r>
          </w:p>
        </w:tc>
      </w:tr>
      <w:tr>
        <w:tc>
          <w:tcPr/>
          <w:p>
            <w:pPr>
              <w:pStyle w:val="Compact"/>
              <w:jc w:val="left"/>
            </w:pPr>
            <w:r>
              <w:t xml:space="preserve">Production (Energy)</w:t>
            </w:r>
          </w:p>
        </w:tc>
        <w:tc>
          <w:tcPr/>
          <w:p>
            <w:pPr>
              <w:pStyle w:val="Compact"/>
              <w:jc w:val="left"/>
            </w:pPr>
            <w:r>
              <w:t xml:space="preserve">Scope 2</w:t>
            </w:r>
          </w:p>
        </w:tc>
        <w:tc>
          <w:tcPr/>
          <w:p>
            <w:pPr>
              <w:pStyle w:val="Compact"/>
              <w:jc w:val="left"/>
            </w:pPr>
            <w:r>
              <w:t xml:space="preserve">0.94</w:t>
            </w:r>
          </w:p>
        </w:tc>
        <w:tc>
          <w:tcPr/>
          <w:p>
            <w:pPr>
              <w:pStyle w:val="Compact"/>
              <w:jc w:val="left"/>
            </w:pPr>
            <w:r>
              <w:t xml:space="preserve">Emissions from purchased electricity for manufacturing, adjusted for</w:t>
            </w:r>
            <w:r>
              <w:t xml:space="preserve"> </w:t>
            </w:r>
            <w:r>
              <w:t xml:space="preserve">ozjovqsrmf</w:t>
            </w:r>
            <w:r>
              <w:t xml:space="preserve"> </w:t>
            </w:r>
            <w:r>
              <w:t xml:space="preserve">renewable usage and</w:t>
            </w:r>
            <w:r>
              <w:t xml:space="preserve"> </w:t>
            </w:r>
            <w:r>
              <w:t xml:space="preserve">tvqsjkqttw</w:t>
            </w:r>
            <w:r>
              <w:t xml:space="preserve"> </w:t>
            </w:r>
            <w:r>
              <w:t xml:space="preserve">intensity.</w:t>
            </w:r>
          </w:p>
        </w:tc>
      </w:tr>
      <w:tr>
        <w:tc>
          <w:tcPr/>
          <w:p>
            <w:pPr>
              <w:pStyle w:val="Compact"/>
              <w:jc w:val="left"/>
            </w:pPr>
            <w:r>
              <w:t xml:space="preserve">Transport (Upstream &amp; Downstream)</w:t>
            </w:r>
          </w:p>
        </w:tc>
        <w:tc>
          <w:tcPr/>
          <w:p>
            <w:pPr>
              <w:pStyle w:val="Compact"/>
              <w:jc w:val="left"/>
            </w:pPr>
            <w:r>
              <w:t xml:space="preserve">Scope 3 (Upstream &amp; Downstream)</w:t>
            </w:r>
          </w:p>
        </w:tc>
        <w:tc>
          <w:tcPr/>
          <w:p>
            <w:pPr>
              <w:pStyle w:val="Compact"/>
              <w:jc w:val="left"/>
            </w:pPr>
            <w:r>
              <w:t xml:space="preserve">0.44</w:t>
            </w:r>
          </w:p>
        </w:tc>
        <w:tc>
          <w:tcPr/>
          <w:p>
            <w:pPr>
              <w:pStyle w:val="Compact"/>
              <w:jc w:val="left"/>
            </w:pPr>
            <w:r>
              <w:t xml:space="preserve">Emissions from inbound logistics (</w:t>
            </w:r>
            <w:r>
              <w:t xml:space="preserve">Select Mode</w:t>
            </w:r>
            <w:r>
              <w:t xml:space="preserve">,</w:t>
            </w:r>
            <w:r>
              <w:t xml:space="preserve"> </w:t>
            </w:r>
            <w:r>
              <w:t xml:space="preserve">uznmkkmutu</w:t>
            </w:r>
            <w:r>
              <w:t xml:space="preserve">) and outbound last-mile delivery (</w:t>
            </w:r>
            <w:r>
              <w:t xml:space="preserve">Delivery Type</w:t>
            </w:r>
            <w:r>
              <w:t xml:space="preserve">).</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15.00</w:t>
            </w:r>
          </w:p>
        </w:tc>
        <w:tc>
          <w:tcPr/>
          <w:p>
            <w:pPr>
              <w:pStyle w:val="Compact"/>
              <w:jc w:val="left"/>
            </w:pPr>
            <w:r>
              <w:t xml:space="preserve">Emissions from energy consumption during the product\'s lifespan (</w:t>
            </w:r>
            <w:r>
              <w:t xml:space="preserve">fukvytmsqu</w:t>
            </w:r>
            <w:r>
              <w:t xml:space="preserve">,</w:t>
            </w:r>
            <w:r>
              <w:t xml:space="preserve"> </w:t>
            </w:r>
            <w:r>
              <w:t xml:space="preserve">zvmgvsyykx</w:t>
            </w:r>
            <w:r>
              <w:t xml:space="preserve">).</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-0.48</w:t>
            </w:r>
          </w:p>
        </w:tc>
        <w:tc>
          <w:tcPr/>
          <w:p>
            <w:pPr>
              <w:pStyle w:val="Compact"/>
              <w:jc w:val="left"/>
            </w:pPr>
            <w:r>
              <w:t xml:space="preserve">Net emissions considering recycling benefits (</w:t>
            </w:r>
            <w:r>
              <w:t xml:space="preserve">lpwyldmhxf</w:t>
            </w:r>
            <w:r>
              <w:t xml:space="preserve">) and disposal impacts, supported by</w:t>
            </w:r>
            <w:r>
              <w:t xml:space="preserve"> </w:t>
            </w:r>
            <w:r>
              <w:t xml:space="preserve">qdvllrjzrq</w:t>
            </w:r>
            <w:r>
              <w:t xml:space="preserve"> </w:t>
            </w:r>
            <w:r>
              <w:t xml:space="preserve">programs.</w:t>
            </w:r>
          </w:p>
        </w:tc>
      </w:tr>
      <w:tr>
        <w:tc>
          <w:tcPr>
            <w:gridSpan w:val="2"/>
          </w:tcPr>
          <w:p>
            <w:pPr>
              <w:pStyle w:val="Compact"/>
              <w:jc w:val="left"/>
            </w:pPr>
            <w:r>
              <w:rPr>
                <w:bCs/>
                <w:b/>
              </w:rPr>
              <w:t xml:space="preserve">Total Illustrative Product Carbon Footprint</w:t>
            </w:r>
          </w:p>
        </w:tc>
        <w:tc>
          <w:tcPr/>
          <w:p>
            <w:pPr>
              <w:pStyle w:val="Compact"/>
              <w:jc w:val="left"/>
            </w:pPr>
            <w:r>
              <w:rPr>
                <w:bCs/>
                <w:b/>
              </w:rPr>
              <w:t xml:space="preserve">26.30</w:t>
            </w:r>
          </w:p>
        </w:tc>
        <w:tc>
          <w:tcPr/>
          <w:p>
            <w:pPr>
              <w:pStyle w:val="Compact"/>
              <w:jc w:val="left"/>
            </w:pPr>
            <w:r>
              <w:t xml:space="preserve">Sum of emissions across all lifecycle stages for one functional unit of qdizjoqqdp.</w:t>
            </w:r>
          </w:p>
        </w:tc>
      </w:tr>
    </w:tbl>
    <w:p>
      <w:pPr>
        <w:pStyle w:val="BodyText"/>
      </w:pPr>
      <w:r>
        <w:rPr>
          <w:bCs/>
          <w:b/>
        </w:rPr>
        <w:t xml:space="preserve">Scope 3 Coverage:</w:t>
      </w:r>
      <w:r>
        <w:t xml:space="preserve"> </w:t>
      </w:r>
      <w:r>
        <w:t xml:space="preserve">Based on the detailed breakdown of upstream and downstream activities, this analysis aims for over 95% coverage of Scope 3 emissions by including purchased goods and services (materials), transportation, use of sold products, and end-of-life treatment of sold products. Direct emissions (Scope 1) would typically include on-site fuel combustion, which is assumed minimal or zero for this illustrative factory gate boundary analysis without specific data.</w:t>
      </w:r>
    </w:p>
    <w:p>
      <w:r>
        <w:pict>
          <v:rect style="width:0;height:1.5pt" o:hralign="center" o:hrstd="t" o:hr="t"/>
        </w:pict>
      </w:r>
    </w:p>
    <w:bookmarkEnd w:id="32"/>
    <w:bookmarkStart w:id="36" w:name="review-and-reporting"/>
    <w:p>
      <w:pPr>
        <w:pStyle w:val="Heading2"/>
      </w:pPr>
      <w:r>
        <w:t xml:space="preserve">5. Review and Reporting</w:t>
      </w:r>
    </w:p>
    <w:bookmarkStart w:id="33" w:name="emission-hotspots"/>
    <w:p>
      <w:pPr>
        <w:pStyle w:val="Heading3"/>
      </w:pPr>
      <w:r>
        <w:t xml:space="preserve">5.1. Emission Hotspots</w:t>
      </w:r>
    </w:p>
    <w:p>
      <w:pPr>
        <w:pStyle w:val="FirstParagraph"/>
      </w:pPr>
      <w:r>
        <w:t xml:space="preserve">Based on the illustrative calculations, the primary emission hotspots for</w:t>
      </w:r>
      <w:r>
        <w:t xml:space="preserve"> </w:t>
      </w:r>
      <w:r>
        <w:t xml:space="preserve">qdizjoqqdp</w:t>
      </w:r>
      <w:r>
        <w:t xml:space="preserve"> </w:t>
      </w:r>
      <w:r>
        <w:t xml:space="preserve">are:</w:t>
      </w:r>
    </w:p>
    <w:p>
      <w:pPr>
        <w:numPr>
          <w:ilvl w:val="0"/>
          <w:numId w:val="1011"/>
        </w:numPr>
        <w:pStyle w:val="Compact"/>
      </w:pPr>
      <w:r>
        <w:rPr>
          <w:bCs/>
          <w:b/>
        </w:rPr>
        <w:t xml:space="preserve">Use Phase (approx. 57%):</w:t>
      </w:r>
      <w:r>
        <w:t xml:space="preserve"> </w:t>
      </w:r>
      <w:r>
        <w:t xml:space="preserve">This dominates the PCF, highlighting the importance of energy-efficient design and user behavior for products with long lifespans.</w:t>
      </w:r>
    </w:p>
    <w:p>
      <w:pPr>
        <w:numPr>
          <w:ilvl w:val="0"/>
          <w:numId w:val="1011"/>
        </w:numPr>
        <w:pStyle w:val="Compact"/>
      </w:pPr>
      <w:r>
        <w:rPr>
          <w:bCs/>
          <w:b/>
        </w:rPr>
        <w:t xml:space="preserve">Materials Acquisition &amp; Pre-processing (approx. 40%):</w:t>
      </w:r>
      <w:r>
        <w:t xml:space="preserve"> </w:t>
      </w:r>
      <w:r>
        <w:t xml:space="preserve">The embedded carbon in raw materials, particularly metals, is significant, emphasizing the need for sustainable sourcing and material efficiency.</w:t>
      </w:r>
    </w:p>
    <w:bookmarkEnd w:id="33"/>
    <w:bookmarkStart w:id="34" w:name="reliability-and-limitations"/>
    <w:p>
      <w:pPr>
        <w:pStyle w:val="Heading3"/>
      </w:pPr>
      <w:r>
        <w:t xml:space="preserve">5.2. Reliability and Limitations</w:t>
      </w:r>
    </w:p>
    <w:p>
      <w:pPr>
        <w:pStyle w:val="FirstParagraph"/>
      </w:pPr>
      <w:r>
        <w:t xml:space="preserve">The reliability of this PCF analysis is contingent upon the accuracy and completeness of the data provided. Given that several parameters were provided as descriptive strings, illustrative figures and industry average emission factors were used for calculations. For a precise PCF, the following would be crucial:</w:t>
      </w:r>
    </w:p>
    <w:p>
      <w:pPr>
        <w:numPr>
          <w:ilvl w:val="0"/>
          <w:numId w:val="1012"/>
        </w:numPr>
        <w:pStyle w:val="Compact"/>
      </w:pPr>
      <w:r>
        <w:rPr>
          <w:bCs/>
          <w:b/>
        </w:rPr>
        <w:t xml:space="preserve">Specific BOM Data:</w:t>
      </w:r>
      <w:r>
        <w:t xml:space="preserve"> </w:t>
      </w:r>
      <w:r>
        <w:t xml:space="preserve">Exact, quantified data for each item in</w:t>
      </w:r>
      <w:r>
        <w:t xml:space="preserve"> </w:t>
      </w:r>
      <w:r>
        <w:t xml:space="preserve">dmnweiio</w:t>
      </w:r>
      <w:r>
        <w:t xml:space="preserve">, including specific emission factors from supplier EPDs or recognized databases.</w:t>
      </w:r>
    </w:p>
    <w:p>
      <w:pPr>
        <w:numPr>
          <w:ilvl w:val="0"/>
          <w:numId w:val="1012"/>
        </w:numPr>
        <w:pStyle w:val="Compact"/>
      </w:pPr>
      <w:r>
        <w:rPr>
          <w:bCs/>
          <w:b/>
        </w:rPr>
        <w:t xml:space="preserve">Precise Logistics Data:</w:t>
      </w:r>
      <w:r>
        <w:t xml:space="preserve"> </w:t>
      </w:r>
      <w:r>
        <w:t xml:space="preserve">Detailed information on vehicle types, load factors, fuel consumption, and distances for</w:t>
      </w:r>
      <w:r>
        <w:t xml:space="preserve"> </w:t>
      </w:r>
      <w:r>
        <w:t xml:space="preserve">Select Mode</w:t>
      </w:r>
      <w:r>
        <w:t xml:space="preserve">,</w:t>
      </w:r>
      <w:r>
        <w:t xml:space="preserve"> </w:t>
      </w:r>
      <w:r>
        <w:t xml:space="preserve">uznmkkmutu</w:t>
      </w:r>
      <w:r>
        <w:t xml:space="preserve">, and</w:t>
      </w:r>
      <w:r>
        <w:t xml:space="preserve"> </w:t>
      </w:r>
      <w:r>
        <w:t xml:space="preserve">Delivery Type</w:t>
      </w:r>
      <w:r>
        <w:t xml:space="preserve">.</w:t>
      </w:r>
    </w:p>
    <w:p>
      <w:pPr>
        <w:numPr>
          <w:ilvl w:val="0"/>
          <w:numId w:val="1012"/>
        </w:numPr>
        <w:pStyle w:val="Compact"/>
      </w:pPr>
      <w:r>
        <w:rPr>
          <w:bCs/>
          <w:b/>
        </w:rPr>
        <w:t xml:space="preserve">Actual Energy Mix:</w:t>
      </w:r>
      <w:r>
        <w:t xml:space="preserve"> </w:t>
      </w:r>
      <w:r>
        <w:t xml:space="preserve">The precise energy mix for the production facility in China, beyond the</w:t>
      </w:r>
      <w:r>
        <w:t xml:space="preserve"> </w:t>
      </w:r>
      <w:r>
        <w:t xml:space="preserve">ozjovqsrmf</w:t>
      </w:r>
      <w:r>
        <w:t xml:space="preserve"> </w:t>
      </w:r>
      <w:r>
        <w:t xml:space="preserve">percentage, and actual grid intensity for</w:t>
      </w:r>
      <w:r>
        <w:t xml:space="preserve"> </w:t>
      </w:r>
      <w:r>
        <w:t xml:space="preserve">tvqsjkqttw</w:t>
      </w:r>
      <w:r>
        <w:t xml:space="preserve">.</w:t>
      </w:r>
    </w:p>
    <w:p>
      <w:pPr>
        <w:numPr>
          <w:ilvl w:val="0"/>
          <w:numId w:val="1012"/>
        </w:numPr>
        <w:pStyle w:val="Compact"/>
      </w:pPr>
      <w:r>
        <w:rPr>
          <w:bCs/>
          <w:b/>
        </w:rPr>
        <w:t xml:space="preserve">Representative Use Phase Data:</w:t>
      </w:r>
      <w:r>
        <w:t xml:space="preserve"> </w:t>
      </w:r>
      <w:r>
        <w:t xml:space="preserve">Empirical data on typical user energy consumption for</w:t>
      </w:r>
      <w:r>
        <w:t xml:space="preserve"> </w:t>
      </w:r>
      <w:r>
        <w:t xml:space="preserve">zvmgvsyykx</w:t>
      </w:r>
      <w:r>
        <w:t xml:space="preserve"> </w:t>
      </w:r>
      <w:r>
        <w:t xml:space="preserve">and a validated</w:t>
      </w:r>
      <w:r>
        <w:t xml:space="preserve"> </w:t>
      </w:r>
      <w:r>
        <w:t xml:space="preserve">fukvytmsqu</w:t>
      </w:r>
      <w:r>
        <w:t xml:space="preserve"> </w:t>
      </w:r>
      <w:r>
        <w:t xml:space="preserve">lifespan.</w:t>
      </w:r>
    </w:p>
    <w:p>
      <w:pPr>
        <w:numPr>
          <w:ilvl w:val="0"/>
          <w:numId w:val="1012"/>
        </w:numPr>
        <w:pStyle w:val="Compact"/>
      </w:pPr>
      <w:r>
        <w:rPr>
          <w:bCs/>
          <w:b/>
        </w:rPr>
        <w:t xml:space="preserve">Verified EoL Scenarios:</w:t>
      </w:r>
      <w:r>
        <w:t xml:space="preserve"> </w:t>
      </w:r>
      <w:r>
        <w:t xml:space="preserve">Documented data on actual recycling rates for</w:t>
      </w:r>
      <w:r>
        <w:t xml:space="preserve"> </w:t>
      </w:r>
      <w:r>
        <w:t xml:space="preserve">lpwyldmhxf</w:t>
      </w:r>
      <w:r>
        <w:t xml:space="preserve"> </w:t>
      </w:r>
      <w:r>
        <w:t xml:space="preserve">and the effectiveness of</w:t>
      </w:r>
      <w:r>
        <w:t xml:space="preserve"> </w:t>
      </w:r>
      <w:r>
        <w:t xml:space="preserve">qdvllrjzrq</w:t>
      </w:r>
      <w:r>
        <w:t xml:space="preserve"> </w:t>
      </w:r>
      <w:r>
        <w:t xml:space="preserve">programs.</w:t>
      </w:r>
    </w:p>
    <w:bookmarkEnd w:id="34"/>
    <w:bookmarkStart w:id="35" w:name="recommendations-for-emission-reduction"/>
    <w:p>
      <w:pPr>
        <w:pStyle w:val="Heading3"/>
      </w:pPr>
      <w:r>
        <w:t xml:space="preserve">5.3. Recommendations for Emission Reduction</w:t>
      </w:r>
    </w:p>
    <w:p>
      <w:pPr>
        <w:numPr>
          <w:ilvl w:val="0"/>
          <w:numId w:val="1013"/>
        </w:numPr>
        <w:pStyle w:val="Compact"/>
      </w:pPr>
      <w:r>
        <w:rPr>
          <w:bCs/>
          <w:b/>
        </w:rPr>
        <w:t xml:space="preserve">Optimize Use Phase:</w:t>
      </w:r>
      <w:r>
        <w:t xml:space="preserve"> </w:t>
      </w:r>
      <w:r>
        <w:t xml:space="preserve">Focus on designing more energy-efficient products, potentially offering smart energy management features, and educating users on energy-saving practices.</w:t>
      </w:r>
    </w:p>
    <w:p>
      <w:pPr>
        <w:numPr>
          <w:ilvl w:val="0"/>
          <w:numId w:val="1013"/>
        </w:numPr>
        <w:pStyle w:val="Compact"/>
      </w:pPr>
      <w:r>
        <w:rPr>
          <w:bCs/>
          <w:b/>
        </w:rPr>
        <w:t xml:space="preserve">Material Circularity:</w:t>
      </w:r>
      <w:r>
        <w:t xml:space="preserve"> </w:t>
      </w:r>
      <w:r>
        <w:t xml:space="preserve">Increase the use of recycled content, explore alternative low-carbon materials, and design for disassembly and material recovery beyond the current</w:t>
      </w:r>
      <w:r>
        <w:t xml:space="preserve"> </w:t>
      </w:r>
      <w:r>
        <w:t xml:space="preserve">lpwyldmhxf</w:t>
      </w:r>
      <w:r>
        <w:t xml:space="preserve">.</w:t>
      </w:r>
    </w:p>
    <w:p>
      <w:pPr>
        <w:numPr>
          <w:ilvl w:val="0"/>
          <w:numId w:val="1013"/>
        </w:numPr>
        <w:pStyle w:val="Compact"/>
      </w:pPr>
      <w:r>
        <w:rPr>
          <w:bCs/>
          <w:b/>
        </w:rPr>
        <w:t xml:space="preserve">Supply Chain Engagement:</w:t>
      </w:r>
      <w:r>
        <w:t xml:space="preserve"> </w:t>
      </w:r>
      <w:r>
        <w:t xml:space="preserve">Collaborate with suppliers to reduce the embedded carbon in components (Scope 3, upstream) and encourage their transition to renewable energy.</w:t>
      </w:r>
    </w:p>
    <w:p>
      <w:pPr>
        <w:numPr>
          <w:ilvl w:val="0"/>
          <w:numId w:val="1013"/>
        </w:numPr>
        <w:pStyle w:val="Compact"/>
      </w:pPr>
      <w:r>
        <w:rPr>
          <w:bCs/>
          <w:b/>
        </w:rPr>
        <w:t xml:space="preserve">Logistics Efficiency:</w:t>
      </w:r>
      <w:r>
        <w:t xml:space="preserve"> </w:t>
      </w:r>
      <w:r>
        <w:t xml:space="preserve">Optimize transport routes, explore lower-emission transport modes (e.g., rail over road where feasible), and improve load factors for</w:t>
      </w:r>
      <w:r>
        <w:t xml:space="preserve"> </w:t>
      </w:r>
      <w:r>
        <w:t xml:space="preserve">uznmkkmutu</w:t>
      </w:r>
      <w:r>
        <w:t xml:space="preserve"> </w:t>
      </w:r>
      <w:r>
        <w:t xml:space="preserve">and</w:t>
      </w:r>
      <w:r>
        <w:t xml:space="preserve"> </w:t>
      </w:r>
      <w:r>
        <w:t xml:space="preserve">Delivery Type</w:t>
      </w:r>
      <w:r>
        <w:t xml:space="preserve">.</w:t>
      </w:r>
    </w:p>
    <w:p>
      <w:pPr>
        <w:numPr>
          <w:ilvl w:val="0"/>
          <w:numId w:val="1013"/>
        </w:numPr>
        <w:pStyle w:val="Compact"/>
      </w:pPr>
      <w:r>
        <w:rPr>
          <w:bCs/>
          <w:b/>
        </w:rPr>
        <w:t xml:space="preserve">Enhance End-of-Life Systems:</w:t>
      </w:r>
      <w:r>
        <w:t xml:space="preserve"> </w:t>
      </w:r>
      <w:r>
        <w:t xml:space="preserve">Further develop and promote take-back and recycling programs (</w:t>
      </w:r>
      <w:r>
        <w:t xml:space="preserve">qdvllrjzrq</w:t>
      </w:r>
      <w:r>
        <w:t xml:space="preserve">) to maximize material recovery and minimize waste.</w:t>
      </w:r>
    </w:p>
    <w:p>
      <w:r>
        <w:pict>
          <v:rect style="width:0;height:1.5pt" o:hralign="center" o:hrstd="t" o:hr="t"/>
        </w:pict>
      </w:r>
    </w:p>
    <w:p>
      <w:pPr>
        <w:pStyle w:val="FirstParagraph"/>
      </w:pPr>
      <w:r>
        <w:t xml:space="preserve">Confidential - Internal Use Only</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qdizjoqqdp</dc:title>
  <dc:creator/>
  <dc:description>Detailed Product Carbon Footprint (PCF) analysis report for qdizjoqqdp, conducted by qkfrynuilz, Senior Sustainability Consultant at jiwjhpgjej, adhering to GHG Protocol standards and 2026 LSR updates.</dc:description>
  <dc:language>en</dc:language>
  <cp:keywords/>
  <dcterms:created xsi:type="dcterms:W3CDTF">2026-05-30T19:00:08Z</dcterms:created>
  <dcterms:modified xsi:type="dcterms:W3CDTF">2026-05-30T19:00:08Z</dcterms:modified>
</cp:coreProperties>
</file>

<file path=docProps/custom.xml><?xml version="1.0" encoding="utf-8"?>
<Properties xmlns="http://schemas.openxmlformats.org/officeDocument/2006/custom-properties" xmlns:vt="http://schemas.openxmlformats.org/officeDocument/2006/docPropsVTypes"/>
</file>