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pyggknqvkk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pyggknqvkk</w:t>
      </w:r>
    </w:p>
    <w:p>
      <w:pPr>
        <w:pStyle w:val="BodyText"/>
      </w:pPr>
      <w:r>
        <w:rPr>
          <w:bCs/>
          <w:b/>
        </w:rPr>
        <w:t xml:space="preserve">Company Name:</w:t>
      </w:r>
      <w:r>
        <w:t xml:space="preserve"> </w:t>
      </w:r>
      <w:r>
        <w:t xml:space="preserve">veophukirx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menkdizflp</w:t>
      </w:r>
    </w:p>
    <w:p>
      <w:pPr>
        <w:pStyle w:val="BodyText"/>
      </w:pPr>
      <w:r>
        <w:t xml:space="preserve">Disclaimer: This report is generated based on available data and industry standards. While every effort has been made to ensure accuracy,</w:t>
      </w:r>
      <w:r>
        <w:t xml:space="preserve"> </w:t>
      </w:r>
      <w:r>
        <w:t xml:space="preserve">the calculations rely on the provided parameters and assumed emission factors for illustrative purposes. Specific primary data</w:t>
      </w:r>
      <w:r>
        <w:t xml:space="preserve"> </w:t>
      </w:r>
      <w:r>
        <w:t xml:space="preserve">would enhance precision.</w:t>
      </w:r>
    </w:p>
    <w:bookmarkEnd w:id="20"/>
    <w:bookmarkStart w:id="22" w:name="product-carbon-footprint-analysis"/>
    <w:p>
      <w:pPr>
        <w:pStyle w:val="Heading1"/>
      </w:pPr>
      <w:r>
        <w:t xml:space="preserve">Product Carbon Footprint Analysis</w:t>
      </w:r>
    </w:p>
    <w:bookmarkStart w:id="21" w:name="product-pyggknqvkk"/>
    <w:p>
      <w:pPr>
        <w:pStyle w:val="Heading2"/>
      </w:pPr>
      <w:r>
        <w:t xml:space="preserve">Product: pyggknqvkk</w:t>
      </w:r>
    </w:p>
    <w:p>
      <w:pPr>
        <w:pStyle w:val="FirstParagraph"/>
      </w:pPr>
      <w:r>
        <w:rPr>
          <w:bCs/>
          <w:b/>
        </w:rPr>
        <w:t xml:space="preserve">Generated Date:</w:t>
      </w:r>
      <w:r>
        <w:t xml:space="preserve"> </w:t>
      </w:r>
      <w:r>
        <w:t xml:space="preserve">June 1, 2026</w:t>
      </w:r>
    </w:p>
    <w:p>
      <w:pPr>
        <w:pStyle w:val="BodyText"/>
      </w:pPr>
      <w:r>
        <w:rPr>
          <w:bCs/>
          <w:b/>
        </w:rPr>
        <w:t xml:space="preserve">Company:</w:t>
      </w:r>
      <w:r>
        <w:t xml:space="preserve"> </w:t>
      </w:r>
      <w:r>
        <w:t xml:space="preserve">veophukirx</w:t>
      </w:r>
    </w:p>
    <w:p>
      <w:pPr>
        <w:pStyle w:val="BodyText"/>
      </w:pPr>
      <w:r>
        <w:rPr>
          <w:bCs/>
          <w:b/>
        </w:rPr>
        <w:t xml:space="preserve">Senior Sustainability Consultant:</w:t>
      </w:r>
      <w:r>
        <w:t xml:space="preserve"> </w:t>
      </w:r>
      <w:r>
        <w:t xml:space="preserve">menkdizflp</w:t>
      </w:r>
    </w:p>
    <w:bookmarkEnd w:id="21"/>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"pyggknqvkk" manufactured by "veophukirx", performed by Senior Sustainability Consultant "menkdizflp". The analysis rigorously adheres to the GHG Protocol, incorporating the forthcoming 2026 Land Sector and Removals (LSR) Standard and aiming for over 95% Scope 3 coverage. The PCF quantifies the total greenhouse gas emissions associated with the product\'s entire lifecycle, from raw material acquisition to end-of-life, providing critical insights into environmental impacts and potential hotspots for reduction.</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initial phase of the PCF analysis establishes the boundaries and parameters for accurate emission quantification.</w:t>
      </w:r>
    </w:p>
    <w:p>
      <w:pPr>
        <w:numPr>
          <w:ilvl w:val="0"/>
          <w:numId w:val="1001"/>
        </w:numPr>
        <w:pStyle w:val="Compact"/>
      </w:pPr>
      <w:r>
        <w:rPr>
          <w:bCs/>
          <w:b/>
        </w:rPr>
        <w:t xml:space="preserve">Functional Unit:</w:t>
      </w:r>
      <w:r>
        <w:t xml:space="preserve"> </w:t>
      </w:r>
      <w:r>
        <w:t xml:space="preserve">The analysis is based on a functional unit of</w:t>
      </w:r>
      <w:r>
        <w:t xml:space="preserve"> </w:t>
      </w:r>
      <w:r>
        <w:rPr>
          <w:bCs/>
          <w:b/>
        </w:rPr>
        <w:t xml:space="preserve">1.0 unit</w:t>
      </w:r>
      <w:r>
        <w:t xml:space="preserve"> </w:t>
      </w:r>
      <w:r>
        <w:t xml:space="preserve">of the product "pyggknqvkk". This unit serves as the reference basis for all emission calculations.</w:t>
      </w:r>
    </w:p>
    <w:p>
      <w:pPr>
        <w:numPr>
          <w:ilvl w:val="0"/>
          <w:numId w:val="1001"/>
        </w:numPr>
        <w:pStyle w:val="Compact"/>
      </w:pPr>
      <w:r>
        <w:rPr>
          <w:bCs/>
          <w:b/>
        </w:rPr>
        <w:t xml:space="preserve">System Boundary:</w:t>
      </w:r>
      <w:r>
        <w:t xml:space="preserve"> </w:t>
      </w:r>
      <w:r>
        <w:t xml:space="preserve">A</w:t>
      </w:r>
      <w:r>
        <w:t xml:space="preserve"> </w:t>
      </w:r>
      <w:r>
        <w:rPr>
          <w:bCs/>
          <w:b/>
        </w:rPr>
        <w:t xml:space="preserve">"factory_gate"</w:t>
      </w:r>
      <w:r>
        <w:t xml:space="preserve"> </w:t>
      </w:r>
      <w:r>
        <w:t xml:space="preserve">system boundary has been applied. This typically means the analysis covers all processes up to the point the finished product leaves the manufacturing facility. For this comprehensive PCF, it will extend to cover full upstream (cradle-to-gate) and downstream (gate-to-grave) emissions, categorizing into Scope 1, 2, and 3 as per GHG Protocol.</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0"/>
        </w:numPr>
        <w:pStyle w:val="Compact"/>
      </w:pPr>
      <w:r>
        <w:t xml:space="preserve">This dual focus considers production efficiencies and regional grid mixes in China, while acknowledging the primary markets and associated supply chain logistics originating or concluding in Europe.</w:t>
      </w:r>
    </w:p>
    <w:p>
      <w:pPr>
        <w:numPr>
          <w:ilvl w:val="0"/>
          <w:numId w:val="1001"/>
        </w:numPr>
        <w:pStyle w:val="Compact"/>
      </w:pPr>
      <w:r>
        <w:rPr>
          <w:bCs/>
          <w:b/>
        </w:rPr>
        <w:t xml:space="preserve">Allocation:</w:t>
      </w:r>
      <w:r>
        <w:t xml:space="preserve"> </w:t>
      </w:r>
      <w:r>
        <w:t xml:space="preserve">Emissions are allocated directly to the functional unit based on material quantities, energy consumption, and transport distances. Where shared processes occur, mass-based allocation is assumed for simplicity, consistent with a high-detail PCF aiming for comprehensive coverage.</w:t>
      </w:r>
    </w:p>
    <w:p>
      <w:pPr>
        <w:numPr>
          <w:ilvl w:val="0"/>
          <w:numId w:val="1001"/>
        </w:numPr>
        <w:pStyle w:val="Compact"/>
      </w:pPr>
      <w:r>
        <w:rPr>
          <w:bCs/>
          <w:b/>
        </w:rPr>
        <w:t xml:space="preserve">Accounting Standard:</w:t>
      </w:r>
      <w:r>
        <w:t xml:space="preserve"> </w:t>
      </w:r>
      <w:r>
        <w:t xml:space="preserve">The entire analysis strictly follows the</w:t>
      </w:r>
      <w:r>
        <w:t xml:space="preserve"> </w:t>
      </w:r>
      <w:r>
        <w:rPr>
          <w:bCs/>
          <w:b/>
        </w:rPr>
        <w:t xml:space="preserve">GHG Protocol Product Standard</w:t>
      </w:r>
      <w:r>
        <w:t xml:space="preserve">. All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2026 LSR Update:</w:t>
      </w:r>
      <w:r>
        <w:t xml:space="preserve"> </w:t>
      </w:r>
      <w:r>
        <w:t xml:space="preserve">The principles of the Land Sector and Removals (LSR) Standard (2026 update) are acknowledged. While specific data for land use change and carbon removals directly attributable to the product\'s bill of materials or manufacturing process are not provided, this report highlights the importance of incorporating such data when available to reflect biogenic carbon flows accurately.</w:t>
      </w:r>
    </w:p>
    <w:p>
      <w:pPr>
        <w:numPr>
          <w:ilvl w:val="0"/>
          <w:numId w:val="1001"/>
        </w:numPr>
        <w:pStyle w:val="Compact"/>
      </w:pPr>
      <w:r>
        <w:rPr>
          <w:bCs/>
          <w:b/>
        </w:rPr>
        <w:t xml:space="preserve">Scope 3 Compliance:</w:t>
      </w:r>
      <w:r>
        <w:t xml:space="preserve"> </w:t>
      </w:r>
      <w:r>
        <w:t xml:space="preserve">A primary objective is to ensure at least</w:t>
      </w:r>
      <w:r>
        <w:t xml:space="preserve"> </w:t>
      </w:r>
      <w:r>
        <w:rPr>
          <w:bCs/>
          <w:b/>
        </w:rPr>
        <w:t xml:space="preserve">95% coverage for Scope 3 reporting</w:t>
      </w:r>
      <w:r>
        <w:t xml:space="preserve">, aligning with stringent 2026 requirements. This involves diligent data collection and estimation across all relevant upstream and downstream categories.</w:t>
      </w:r>
    </w:p>
    <w:p>
      <w:r>
        <w:pict>
          <v:rect style="width:0;height:1.5pt" o:hralign="center" o:hrstd="t" o:hr="t"/>
        </w:pict>
      </w:r>
    </w:p>
    <w:bookmarkEnd w:id="24"/>
    <w:bookmarkStart w:id="30" w:name="map-lifecycle-lci-inventory-stages"/>
    <w:p>
      <w:pPr>
        <w:pStyle w:val="Heading2"/>
      </w:pPr>
      <w:r>
        <w:t xml:space="preserve">2. Map Lifecycle (LCI Inventory Stages)</w:t>
      </w:r>
    </w:p>
    <w:p>
      <w:pPr>
        <w:pStyle w:val="FirstParagraph"/>
      </w:pPr>
      <w:r>
        <w:t xml:space="preserve">The lifecycle of "pyggknqvkk" is mapped into distinct stages to systematically identify and quantify environmental impacts. The following stages are considered for a comprehensive \'Cradle-to-Grave\' assessment:</w:t>
      </w:r>
    </w:p>
    <w:bookmarkStart w:id="25" w:name="X79b1d862d80b848c19dc426f2535ec96f6cfcfa"/>
    <w:p>
      <w:pPr>
        <w:pStyle w:val="Heading3"/>
      </w:pPr>
      <w:r>
        <w:t xml:space="preserve">Materials Acquisition &amp; Pre-processing (Upstream Scope 3)</w:t>
      </w:r>
    </w:p>
    <w:p>
      <w:pPr>
        <w:pStyle w:val="FirstParagraph"/>
      </w:pPr>
      <w:r>
        <w:t xml:space="preserve">This stage includes the extraction of raw materials and their initial processing into usable forms for manufacturing. It encompasses all energy, water, and chemical inputs, as well as waste generation, before the materials reach the "veophukirx" production facility.</w:t>
      </w:r>
    </w:p>
    <w:bookmarkEnd w:id="25"/>
    <w:bookmarkStart w:id="26" w:name="X431aa6387208386d21b043a0c989ddfa0136a9a"/>
    <w:p>
      <w:pPr>
        <w:pStyle w:val="Heading3"/>
      </w:pPr>
      <w:r>
        <w:t xml:space="preserve">Manufacturing (Scope 1, Scope 2, Upstream Scope 3)</w:t>
      </w:r>
    </w:p>
    <w:p>
      <w:pPr>
        <w:pStyle w:val="FirstParagraph"/>
      </w:pPr>
      <w:r>
        <w:t xml:space="preserve">Covers all processes at the "veophukirx" production facility in China, including component assembly, fabrication, and packaging. Emissions arise from:</w:t>
      </w:r>
    </w:p>
    <w:p>
      <w:pPr>
        <w:numPr>
          <w:ilvl w:val="0"/>
          <w:numId w:val="1003"/>
        </w:numPr>
        <w:pStyle w:val="Compact"/>
      </w:pPr>
      <w:r>
        <w:rPr>
          <w:bCs/>
          <w:b/>
        </w:rPr>
        <w:t xml:space="preserve">Direct Energy Consumption (Scope 1):</w:t>
      </w:r>
      <w:r>
        <w:t xml:space="preserve"> </w:t>
      </w:r>
      <w:r>
        <w:t xml:space="preserve">On-site fuel combustion for machinery, heating, etc. (Assumed negligible for specific product unless specified).</w:t>
      </w:r>
    </w:p>
    <w:p>
      <w:pPr>
        <w:numPr>
          <w:ilvl w:val="0"/>
          <w:numId w:val="1003"/>
        </w:numPr>
        <w:pStyle w:val="Compact"/>
      </w:pPr>
      <w:r>
        <w:rPr>
          <w:bCs/>
          <w:b/>
        </w:rPr>
        <w:t xml:space="preserve">Purchased Electricity (Scope 2):</w:t>
      </w:r>
      <w:r>
        <w:t xml:space="preserve"> </w:t>
      </w:r>
      <w:r>
        <w:t xml:space="preserve">Electricity consumed from the grid during manufacturing.</w:t>
      </w:r>
    </w:p>
    <w:p>
      <w:pPr>
        <w:numPr>
          <w:ilvl w:val="0"/>
          <w:numId w:val="1003"/>
        </w:numPr>
        <w:pStyle w:val="Compact"/>
      </w:pPr>
      <w:r>
        <w:rPr>
          <w:bCs/>
          <w:b/>
        </w:rPr>
        <w:t xml:space="preserve">Upstream Emissions (Scope 3):</w:t>
      </w:r>
      <w:r>
        <w:t xml:space="preserve"> </w:t>
      </w:r>
      <w:r>
        <w:t xml:space="preserve">Emissions from the production of tools, machinery, and other ancillary materials not directly part of the product.</w:t>
      </w:r>
    </w:p>
    <w:bookmarkEnd w:id="26"/>
    <w:bookmarkStart w:id="27" w:name="transport-upstream-downstream-scope-3"/>
    <w:p>
      <w:pPr>
        <w:pStyle w:val="Heading3"/>
      </w:pPr>
      <w:r>
        <w:t xml:space="preserve">Transport (Upstream &amp; Downstream Scope 3)</w:t>
      </w:r>
    </w:p>
    <w:p>
      <w:pPr>
        <w:pStyle w:val="FirstParagraph"/>
      </w:pPr>
      <w:r>
        <w:t xml:space="preserve">This includes all logistics activities throughout the supply chain:</w:t>
      </w:r>
    </w:p>
    <w:p>
      <w:pPr>
        <w:numPr>
          <w:ilvl w:val="0"/>
          <w:numId w:val="1004"/>
        </w:numPr>
        <w:pStyle w:val="Compact"/>
      </w:pPr>
      <w:r>
        <w:rPr>
          <w:bCs/>
          <w:b/>
        </w:rPr>
        <w:t xml:space="preserve">Inbound Transport:</w:t>
      </w:r>
      <w:r>
        <w:t xml:space="preserve"> </w:t>
      </w:r>
      <w:r>
        <w:t xml:space="preserve">From raw material suppliers/component manufacturers to the veophukirx factory.</w:t>
      </w:r>
    </w:p>
    <w:p>
      <w:pPr>
        <w:numPr>
          <w:ilvl w:val="0"/>
          <w:numId w:val="1004"/>
        </w:numPr>
        <w:pStyle w:val="Compact"/>
      </w:pPr>
      <w:r>
        <w:rPr>
          <w:bCs/>
          <w:b/>
        </w:rPr>
        <w:t xml:space="preserve">Outbound Transport:</w:t>
      </w:r>
      <w:r>
        <w:t xml:space="preserve"> </w:t>
      </w:r>
      <w:r>
        <w:t xml:space="preserve">From the veophukirx factory to distribution centers, retailers, and finally to the end-consumer.</w:t>
      </w:r>
    </w:p>
    <w:p>
      <w:pPr>
        <w:numPr>
          <w:ilvl w:val="0"/>
          <w:numId w:val="1004"/>
        </w:numPr>
        <w:pStyle w:val="Compact"/>
      </w:pPr>
      <w:r>
        <w:rPr>
          <w:bCs/>
          <w:b/>
        </w:rPr>
        <w:t xml:space="preserve">Last-Mile Delivery:</w:t>
      </w:r>
      <w:r>
        <w:t xml:space="preserve"> </w:t>
      </w:r>
      <w:r>
        <w:t xml:space="preserve">Final delivery to the customer.</w:t>
      </w:r>
    </w:p>
    <w:bookmarkEnd w:id="27"/>
    <w:bookmarkStart w:id="28" w:name="use-phase-downstream-scope-3"/>
    <w:p>
      <w:pPr>
        <w:pStyle w:val="Heading3"/>
      </w:pPr>
      <w:r>
        <w:t xml:space="preserve">Use Phase (Downstream Scope 3)</w:t>
      </w:r>
    </w:p>
    <w:p>
      <w:pPr>
        <w:pStyle w:val="FirstParagraph"/>
      </w:pPr>
      <w:r>
        <w:t xml:space="preserve">Emissions occurring during the active use of the product by the consumer over its lifespan. This typically includes energy consumption required for operation.</w:t>
      </w:r>
    </w:p>
    <w:bookmarkEnd w:id="28"/>
    <w:bookmarkStart w:id="29" w:name="end-of-life-downstream-scope-3"/>
    <w:p>
      <w:pPr>
        <w:pStyle w:val="Heading3"/>
      </w:pPr>
      <w:r>
        <w:t xml:space="preserve">End-of-Life (Downstream Scope 3)</w:t>
      </w:r>
    </w:p>
    <w:p>
      <w:pPr>
        <w:pStyle w:val="FirstParagraph"/>
      </w:pPr>
      <w:r>
        <w:t xml:space="preserve">Emissions associated with the product\'s disposal, recycling, or recovery at the end of its useful life. Circular economy impacts, such as recycling benefits, are credited here.</w:t>
      </w:r>
    </w:p>
    <w:p>
      <w:r>
        <w:pict>
          <v:rect style="width:0;height:1.5pt" o:hralign="center" o:hrstd="t" o:hr="t"/>
        </w:pict>
      </w:r>
    </w:p>
    <w:bookmarkEnd w:id="29"/>
    <w:bookmarkEnd w:id="30"/>
    <w:bookmarkStart w:id="36" w:name="Xb57f50a89bf1f3f1837369be949d9d60d6c1272"/>
    <w:p>
      <w:pPr>
        <w:pStyle w:val="Heading2"/>
      </w:pPr>
      <w:r>
        <w:t xml:space="preserve">3. Collect Data (Primary/Secondary Data Points)</w:t>
      </w:r>
    </w:p>
    <w:p>
      <w:pPr>
        <w:pStyle w:val="FirstParagraph"/>
      </w:pPr>
      <w:r>
        <w:t xml:space="preserve">Accurate data collection is paramount. For this analysis, a combination of primary (provided parameters) and secondary (industry-standard emission factors) data is utilized.</w:t>
      </w:r>
    </w:p>
    <w:bookmarkStart w:id="31" w:name="Xb77dc5171228974511a418594d9e445db512f0a"/>
    <w:p>
      <w:pPr>
        <w:pStyle w:val="Heading3"/>
      </w:pPr>
      <w:r>
        <w:t xml:space="preserve">Detailed Bill of Materials (BOM) for pyggknqvkk</w:t>
      </w:r>
    </w:p>
    <w:p>
      <w:pPr>
        <w:pStyle w:val="FirstParagraph"/>
      </w:pPr>
      <w:r>
        <w:t xml:space="preserve">The following Bill of Materials (BOM) represents the primary material inputs for "pyggknqvkk". The provided emission factors are directly used for material impact calculation, ensuring high accuracy.</w:t>
      </w:r>
    </w:p>
    <w:p>
      <w:pPr>
        <w:pStyle w:val="BodyText"/>
      </w:pPr>
      <w:r>
        <w:rPr>
          <w:iCs/>
          <w:i/>
        </w:rPr>
        <w:t xml:space="preserve">Note: The following BOM is based on the placeholder "hqlwpdxo" and is therefore illustrative. Specific primary data from veophukirx is crucial for actual calculations. Emission Factors are assumed typical values for demonstration.</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Casing</w:t>
            </w:r>
          </w:p>
        </w:tc>
        <w:tc>
          <w:tcPr/>
          <w:p>
            <w:pPr>
              <w:pStyle w:val="Compact"/>
              <w:jc w:val="left"/>
            </w:pPr>
            <w:r>
              <w:t xml:space="preserve">Metal</w:t>
            </w:r>
          </w:p>
        </w:tc>
        <w:tc>
          <w:tcPr/>
          <w:p>
            <w:pPr>
              <w:pStyle w:val="Compact"/>
              <w:jc w:val="left"/>
            </w:pPr>
            <w:r>
              <w:t xml:space="preserve">Extrusion &amp; Machining</w:t>
            </w:r>
          </w:p>
        </w:tc>
        <w:tc>
          <w:tcPr/>
          <w:p>
            <w:pPr>
              <w:pStyle w:val="Compact"/>
              <w:jc w:val="left"/>
            </w:pPr>
            <w:r>
              <w:t xml:space="preserve">0.3 kg</w:t>
            </w:r>
          </w:p>
        </w:tc>
        <w:tc>
          <w:tcPr/>
          <w:p>
            <w:pPr>
              <w:pStyle w:val="Compact"/>
              <w:jc w:val="left"/>
            </w:pPr>
            <w:r>
              <w:t xml:space="preserve">10.0</w:t>
            </w:r>
          </w:p>
        </w:tc>
        <w:tc>
          <w:tcPr/>
          <w:p>
            <w:pPr>
              <w:pStyle w:val="Compact"/>
              <w:jc w:val="left"/>
            </w:pPr>
            <w:r>
              <w:t xml:space="preserve">3.00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0.1 units</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M-003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0.05 units</w:t>
            </w:r>
          </w:p>
        </w:tc>
        <w:tc>
          <w:tcPr/>
          <w:p>
            <w:pPr>
              <w:pStyle w:val="Compact"/>
              <w:jc w:val="left"/>
            </w:pPr>
            <w:r>
              <w:t xml:space="preserve">40.0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ABS 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 kg</w:t>
            </w:r>
          </w:p>
        </w:tc>
        <w:tc>
          <w:tcPr/>
          <w:p>
            <w:pPr>
              <w:pStyle w:val="Compact"/>
              <w:jc w:val="left"/>
            </w:pPr>
            <w:r>
              <w:t xml:space="preserve">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 &amp; Insulation</w:t>
            </w:r>
          </w:p>
        </w:tc>
        <w:tc>
          <w:tcPr/>
          <w:p>
            <w:pPr>
              <w:pStyle w:val="Compact"/>
              <w:jc w:val="left"/>
            </w:pPr>
            <w:r>
              <w:t xml:space="preserve">0.02 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M-006</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Processing &amp; Printing</w:t>
            </w:r>
          </w:p>
        </w:tc>
        <w:tc>
          <w:tcPr/>
          <w:p>
            <w:pPr>
              <w:pStyle w:val="Compact"/>
              <w:jc w:val="left"/>
            </w:pPr>
            <w:r>
              <w:t xml:space="preserve">0.08 kg</w:t>
            </w:r>
          </w:p>
        </w:tc>
        <w:tc>
          <w:tcPr/>
          <w:p>
            <w:pPr>
              <w:pStyle w:val="Compact"/>
              <w:jc w:val="left"/>
            </w:pPr>
            <w:r>
              <w:t xml:space="preserve">1.5</w:t>
            </w:r>
          </w:p>
        </w:tc>
        <w:tc>
          <w:tcPr/>
          <w:p>
            <w:pPr>
              <w:pStyle w:val="Compact"/>
              <w:jc w:val="left"/>
            </w:pPr>
            <w:r>
              <w:t xml:space="preserve">0.12</w:t>
            </w:r>
          </w:p>
        </w:tc>
      </w:tr>
    </w:tbl>
    <w:p>
      <w:pPr>
        <w:pStyle w:val="BodyText"/>
      </w:pPr>
      <w:r>
        <w:rPr>
          <w:bCs/>
          <w:b/>
        </w:rPr>
        <w:t xml:space="preserve">Total Carbon from Materials (Illustrative): 8.45 kg CO2e</w:t>
      </w:r>
    </w:p>
    <w:bookmarkEnd w:id="31"/>
    <w:bookmarkStart w:id="32" w:name="energy-inputs-manufacturing-phase"/>
    <w:p>
      <w:pPr>
        <w:pStyle w:val="Heading3"/>
      </w:pPr>
      <w:r>
        <w:t xml:space="preserve">Energy Inputs (Manufacturing Phase)</w:t>
      </w:r>
    </w:p>
    <w:p>
      <w:pPr>
        <w:numPr>
          <w:ilvl w:val="0"/>
          <w:numId w:val="1005"/>
        </w:numPr>
        <w:pStyle w:val="Compact"/>
      </w:pPr>
      <w:r>
        <w:rPr>
          <w:bCs/>
          <w:b/>
        </w:rPr>
        <w:t xml:space="preserve">Renewable Energy Usage:</w:t>
      </w:r>
      <w:r>
        <w:t xml:space="preserve"> </w:t>
      </w:r>
      <w:r>
        <w:rPr>
          <w:bCs/>
          <w:b/>
        </w:rPr>
        <w:t xml:space="preserve">weilrswdhx</w:t>
      </w:r>
      <w:r>
        <w:t xml:space="preserve"> </w:t>
      </w:r>
      <w:r>
        <w:t xml:space="preserve">(Illustrative: 70% of electricity purchased is from renewable sources). This significantly reduces Scope 2 emissions.</w:t>
      </w:r>
    </w:p>
    <w:p>
      <w:pPr>
        <w:numPr>
          <w:ilvl w:val="0"/>
          <w:numId w:val="1005"/>
        </w:numPr>
        <w:pStyle w:val="Compact"/>
      </w:pPr>
      <w:r>
        <w:rPr>
          <w:bCs/>
          <w:b/>
        </w:rPr>
        <w:t xml:space="preserve">Energy Intensity (kWh/unit):</w:t>
      </w:r>
      <w:r>
        <w:t xml:space="preserve"> </w:t>
      </w:r>
      <w:r>
        <w:rPr>
          <w:bCs/>
          <w:b/>
        </w:rPr>
        <w:t xml:space="preserve">hrhwmfdtke</w:t>
      </w:r>
      <w:r>
        <w:t xml:space="preserve"> </w:t>
      </w:r>
      <w:r>
        <w:t xml:space="preserve">(Illustrative: 2.5 kWh/unit). This is the total electricity consumed to manufacture one unit of "pyggknqvkk".</w:t>
      </w:r>
    </w:p>
    <w:p>
      <w:pPr>
        <w:numPr>
          <w:ilvl w:val="0"/>
          <w:numId w:val="1005"/>
        </w:numPr>
        <w:pStyle w:val="Compact"/>
      </w:pPr>
      <w:r>
        <w:rPr>
          <w:bCs/>
          <w:b/>
        </w:rPr>
        <w:t xml:space="preserve">Grid Emission Factor (China):</w:t>
      </w:r>
      <w:r>
        <w:t xml:space="preserve"> </w:t>
      </w:r>
      <w:r>
        <w:t xml:space="preserve">Assumed 0.6 kg CO2e/kWh for non-renewable electricity (illustrative, based on average grid mix for China). This factor is applied to the non-renewable portion of electricity.</w:t>
      </w:r>
    </w:p>
    <w:bookmarkEnd w:id="32"/>
    <w:bookmarkStart w:id="33" w:name="logistics-data-transport"/>
    <w:p>
      <w:pPr>
        <w:pStyle w:val="Heading3"/>
      </w:pPr>
      <w:r>
        <w:t xml:space="preserve">Logistics Data (Transport)</w:t>
      </w:r>
    </w:p>
    <w:p>
      <w:pPr>
        <w:pStyle w:val="FirstParagraph"/>
      </w:pPr>
      <w:r>
        <w:t xml:space="preserve">Transport emissions are calculated based on the mode, distance, and delivery channel.</w:t>
      </w:r>
    </w:p>
    <w:p>
      <w:pPr>
        <w:numPr>
          <w:ilvl w:val="0"/>
          <w:numId w:val="1006"/>
        </w:numPr>
        <w:pStyle w:val="Compact"/>
      </w:pPr>
      <w:r>
        <w:rPr>
          <w:bCs/>
          <w:b/>
        </w:rPr>
        <w:t xml:space="preserve">Transport Mode (Main Freight):</w:t>
      </w:r>
      <w:r>
        <w:t xml:space="preserve"> </w:t>
      </w:r>
      <w:r>
        <w:rPr>
          <w:bCs/>
          <w:b/>
        </w:rPr>
        <w:t xml:space="preserve">Select Mode</w:t>
      </w:r>
      <w:r>
        <w:t xml:space="preserve"> </w:t>
      </w:r>
      <w:r>
        <w:t xml:space="preserve">(Illustrative: Ocean Freight for inbound components to China, then to Europe, and Road Freight for regional distribution).</w:t>
      </w:r>
    </w:p>
    <w:p>
      <w:pPr>
        <w:numPr>
          <w:ilvl w:val="0"/>
          <w:numId w:val="1006"/>
        </w:numPr>
        <w:pStyle w:val="Compact"/>
      </w:pPr>
      <w:r>
        <w:rPr>
          <w:bCs/>
          <w:b/>
        </w:rPr>
        <w:t xml:space="preserve">Transport Distance (Cumulative):</w:t>
      </w:r>
      <w:r>
        <w:t xml:space="preserve"> </w:t>
      </w:r>
      <w:r>
        <w:rPr>
          <w:bCs/>
          <w:b/>
        </w:rPr>
        <w:t xml:space="preserve">tfhonjrizn</w:t>
      </w:r>
      <w:r>
        <w:t xml:space="preserve"> </w:t>
      </w:r>
      <w:r>
        <w:t xml:space="preserve">(Illustrative: 20,000 km for international freight, 1,500 km for regional road freight).</w:t>
      </w:r>
    </w:p>
    <w:p>
      <w:pPr>
        <w:numPr>
          <w:ilvl w:val="0"/>
          <w:numId w:val="1006"/>
        </w:numPr>
        <w:pStyle w:val="Compact"/>
      </w:pPr>
      <w:r>
        <w:rPr>
          <w:bCs/>
          <w:b/>
        </w:rPr>
        <w:t xml:space="preserve">Last-Mile Delivery Channel:</w:t>
      </w:r>
      <w:r>
        <w:t xml:space="preserve"> </w:t>
      </w:r>
      <w:r>
        <w:rPr>
          <w:bCs/>
          <w:b/>
        </w:rPr>
        <w:t xml:space="preserve">Delivery Type</w:t>
      </w:r>
      <w:r>
        <w:t xml:space="preserve"> </w:t>
      </w:r>
      <w:r>
        <w:t xml:space="preserve">(Illustrative: Small Parcel Carrier, using typical van/truck delivery methods).</w:t>
      </w:r>
    </w:p>
    <w:p>
      <w:pPr>
        <w:pStyle w:val="FirstParagraph"/>
      </w:pPr>
      <w:r>
        <w:rPr>
          <w:iCs/>
          <w:i/>
        </w:rPr>
        <w:t xml:space="preserve">Illustrative Emission Factors for Transport (based on DEFRA/Ecoinvent averages):</w:t>
      </w:r>
    </w:p>
    <w:p>
      <w:pPr>
        <w:numPr>
          <w:ilvl w:val="0"/>
          <w:numId w:val="1007"/>
        </w:numPr>
        <w:pStyle w:val="Compact"/>
      </w:pPr>
      <w:r>
        <w:t xml:space="preserve">Ocean Freight (container ship): 0.01 kg CO2e/tonne-km</w:t>
      </w:r>
    </w:p>
    <w:p>
      <w:pPr>
        <w:numPr>
          <w:ilvl w:val="0"/>
          <w:numId w:val="1007"/>
        </w:numPr>
        <w:pStyle w:val="Compact"/>
      </w:pPr>
      <w:r>
        <w:t xml:space="preserve">Road Freight (HGV &gt; 16t): 0.08 kg CO2e/tonne-km</w:t>
      </w:r>
    </w:p>
    <w:p>
      <w:pPr>
        <w:numPr>
          <w:ilvl w:val="0"/>
          <w:numId w:val="1007"/>
        </w:numPr>
        <w:pStyle w:val="Compact"/>
      </w:pPr>
      <w:r>
        <w:t xml:space="preserve">Small Parcel Van (last-mile): 0.3 kg CO2e/package (estimated average for short distances)</w:t>
      </w:r>
    </w:p>
    <w:bookmarkEnd w:id="33"/>
    <w:bookmarkStart w:id="34" w:name="use-phase-data"/>
    <w:p>
      <w:pPr>
        <w:pStyle w:val="Heading3"/>
      </w:pPr>
      <w:r>
        <w:t xml:space="preserve">Use Phase Data</w:t>
      </w:r>
    </w:p>
    <w:p>
      <w:pPr>
        <w:numPr>
          <w:ilvl w:val="0"/>
          <w:numId w:val="1008"/>
        </w:numPr>
        <w:pStyle w:val="Compact"/>
      </w:pPr>
      <w:r>
        <w:rPr>
          <w:bCs/>
          <w:b/>
        </w:rPr>
        <w:t xml:space="preserve">Product Lifespan:</w:t>
      </w:r>
      <w:r>
        <w:t xml:space="preserve"> </w:t>
      </w:r>
      <w:r>
        <w:rPr>
          <w:bCs/>
          <w:b/>
        </w:rPr>
        <w:t xml:space="preserve">dplfntmzid</w:t>
      </w:r>
      <w:r>
        <w:t xml:space="preserve"> </w:t>
      </w:r>
      <w:r>
        <w:t xml:space="preserve">(Illustrative: 5 years).</w:t>
      </w:r>
    </w:p>
    <w:p>
      <w:pPr>
        <w:numPr>
          <w:ilvl w:val="0"/>
          <w:numId w:val="1008"/>
        </w:numPr>
        <w:pStyle w:val="Compact"/>
      </w:pPr>
      <w:r>
        <w:rPr>
          <w:bCs/>
          <w:b/>
        </w:rPr>
        <w:t xml:space="preserve">Energy Consumption in Use:</w:t>
      </w:r>
      <w:r>
        <w:t xml:space="preserve"> </w:t>
      </w:r>
      <w:r>
        <w:rPr>
          <w:bCs/>
          <w:b/>
        </w:rPr>
        <w:t xml:space="preserve">isoddvyunu</w:t>
      </w:r>
      <w:r>
        <w:t xml:space="preserve"> </w:t>
      </w:r>
      <w:r>
        <w:t xml:space="preserve">(Illustrative: 0.05 kWh/day). This translates to 0.05 kWh/day * 365 days/year * 5 years = 91.25 kWh over the lifespan.</w:t>
      </w:r>
    </w:p>
    <w:p>
      <w:pPr>
        <w:numPr>
          <w:ilvl w:val="0"/>
          <w:numId w:val="1008"/>
        </w:numPr>
        <w:pStyle w:val="Compact"/>
      </w:pPr>
      <w:r>
        <w:rPr>
          <w:bCs/>
          <w:b/>
        </w:rPr>
        <w:t xml:space="preserve">Average Grid Emission Factor (Europe Focused):</w:t>
      </w:r>
      <w:r>
        <w:t xml:space="preserve"> </w:t>
      </w:r>
      <w:r>
        <w:t xml:space="preserve">Assumed 0.25 kg CO2e/kWh (illustrative average for European electricity mix).</w:t>
      </w:r>
    </w:p>
    <w:bookmarkEnd w:id="34"/>
    <w:bookmarkStart w:id="35" w:name="end-of-life-eol-data"/>
    <w:p>
      <w:pPr>
        <w:pStyle w:val="Heading3"/>
      </w:pPr>
      <w:r>
        <w:t xml:space="preserve">End-of-Life (EoL) Data</w:t>
      </w:r>
    </w:p>
    <w:p>
      <w:pPr>
        <w:numPr>
          <w:ilvl w:val="0"/>
          <w:numId w:val="1009"/>
        </w:numPr>
        <w:pStyle w:val="Compact"/>
      </w:pPr>
      <w:r>
        <w:rPr>
          <w:bCs/>
          <w:b/>
        </w:rPr>
        <w:t xml:space="preserve">Recyclability Percentage:</w:t>
      </w:r>
      <w:r>
        <w:t xml:space="preserve"> </w:t>
      </w:r>
      <w:r>
        <w:rPr>
          <w:bCs/>
          <w:b/>
        </w:rPr>
        <w:t xml:space="preserve">efrgrngxyw</w:t>
      </w:r>
      <w:r>
        <w:t xml:space="preserve"> </w:t>
      </w:r>
      <w:r>
        <w:t xml:space="preserve">(Illustrative: 70% of material mass is recyclable).</w:t>
      </w:r>
    </w:p>
    <w:p>
      <w:pPr>
        <w:numPr>
          <w:ilvl w:val="0"/>
          <w:numId w:val="1009"/>
        </w:numPr>
        <w:pStyle w:val="Compact"/>
      </w:pPr>
      <w:r>
        <w:rPr>
          <w:bCs/>
          <w:b/>
        </w:rPr>
        <w:t xml:space="preserve">Circular/Take-back Programs:</w:t>
      </w:r>
      <w:r>
        <w:t xml:space="preserve"> </w:t>
      </w:r>
      <w:r>
        <w:rPr>
          <w:bCs/>
          <w:b/>
        </w:rPr>
        <w:t xml:space="preserve">wvfyyhqife</w:t>
      </w:r>
      <w:r>
        <w:t xml:space="preserve"> </w:t>
      </w:r>
      <w:r>
        <w:t xml:space="preserve">(Illustrative: "Active take-back program in key markets"). This implies potential for material recovery and reduced virgin material extraction, leading to avoided emissions credits.</w:t>
      </w:r>
    </w:p>
    <w:p>
      <w:pPr>
        <w:numPr>
          <w:ilvl w:val="0"/>
          <w:numId w:val="1009"/>
        </w:numPr>
        <w:pStyle w:val="Compact"/>
      </w:pPr>
      <w:r>
        <w:rPr>
          <w:bCs/>
          <w:b/>
        </w:rPr>
        <w:t xml:space="preserve">Avoided Emissions Factor (Recycling):</w:t>
      </w:r>
      <w:r>
        <w:t xml:space="preserve"> </w:t>
      </w:r>
      <w:r>
        <w:t xml:space="preserve">Assumed 1.0 kg CO2e/kg of recycled material (illustrative, varies by material).</w:t>
      </w:r>
    </w:p>
    <w:p>
      <w:pPr>
        <w:numPr>
          <w:ilvl w:val="0"/>
          <w:numId w:val="1009"/>
        </w:numPr>
        <w:pStyle w:val="Compact"/>
      </w:pPr>
      <w:r>
        <w:rPr>
          <w:bCs/>
          <w:b/>
        </w:rPr>
        <w:t xml:space="preserve">Disposal (Landfill/Incineration):</w:t>
      </w:r>
      <w:r>
        <w:t xml:space="preserve"> </w:t>
      </w:r>
      <w:r>
        <w:t xml:space="preserve">Emissions for non-recycled waste are calculated using typical disposal factors (e.g., 0.1-0.5 kg CO2e/kg, depending on material and method).</w:t>
      </w:r>
    </w:p>
    <w:p>
      <w:r>
        <w:pict>
          <v:rect style="width:0;height:1.5pt" o:hralign="center" o:hrstd="t" o:hr="t"/>
        </w:pict>
      </w:r>
    </w:p>
    <w:bookmarkEnd w:id="35"/>
    <w:bookmarkEnd w:id="36"/>
    <w:bookmarkStart w:id="46"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Scopes. The 2026 LSR update is conceptually applied by recognizing the potential for land-use related emissions and removals, though specific data for these were not available in the provided parameters.</w:t>
      </w:r>
    </w:p>
    <w:bookmarkStart w:id="37" w:name="scope-definition-for-pcf"/>
    <w:p>
      <w:pPr>
        <w:pStyle w:val="Heading3"/>
      </w:pPr>
      <w:r>
        <w:t xml:space="preserve">Scope Definition for PCF:</w:t>
      </w:r>
    </w:p>
    <w:p>
      <w:pPr>
        <w:numPr>
          <w:ilvl w:val="0"/>
          <w:numId w:val="1010"/>
        </w:numPr>
        <w:pStyle w:val="Compact"/>
      </w:pPr>
      <w:r>
        <w:rPr>
          <w:bCs/>
          <w:b/>
        </w:rPr>
        <w:t xml:space="preserve">Scope 1:</w:t>
      </w:r>
      <w:r>
        <w:t xml:space="preserve"> </w:t>
      </w:r>
      <w:r>
        <w:t xml:space="preserve">Direct emissions from veophukirx\'s owned or controlled sources (e.g., on-site combustion). For a product-level PCF focusing on `factory_gate`, these are typically minimal unless direct process heating fuels are used. (Assumed negligible for this product given provided parameters).</w:t>
      </w:r>
    </w:p>
    <w:p>
      <w:pPr>
        <w:numPr>
          <w:ilvl w:val="0"/>
          <w:numId w:val="1010"/>
        </w:numPr>
        <w:pStyle w:val="Compact"/>
      </w:pPr>
      <w:r>
        <w:rPr>
          <w:bCs/>
          <w:b/>
        </w:rPr>
        <w:t xml:space="preserve">Scope 2:</w:t>
      </w:r>
      <w:r>
        <w:t xml:space="preserve"> </w:t>
      </w:r>
      <w:r>
        <w:t xml:space="preserve">Indirect emissions from the generation of purchased electricity consumed by veophukirx for manufacturing.</w:t>
      </w:r>
    </w:p>
    <w:p>
      <w:pPr>
        <w:numPr>
          <w:ilvl w:val="0"/>
          <w:numId w:val="1010"/>
        </w:numPr>
        <w:pStyle w:val="Compact"/>
      </w:pPr>
      <w:r>
        <w:rPr>
          <w:bCs/>
          <w:b/>
        </w:rPr>
        <w:t xml:space="preserve">Scope 3:</w:t>
      </w:r>
      <w:r>
        <w:t xml:space="preserve"> </w:t>
      </w:r>
      <w:r>
        <w:t xml:space="preserve">All other indirect emissions across the value chain, both upstream (materials, inbound transport) and downstream (outbound transport, use phase, end-of-life). This represents the majority of a product\'s footprint.</w:t>
      </w:r>
    </w:p>
    <w:bookmarkEnd w:id="37"/>
    <w:bookmarkStart w:id="43" w:name="X4d16e4a28f6cd82bfe585410bd621d8a67b2ee9"/>
    <w:p>
      <w:pPr>
        <w:pStyle w:val="Heading3"/>
      </w:pPr>
      <w:r>
        <w:t xml:space="preserve">Detailed Emission Calculations (Illustrative)</w:t>
      </w:r>
    </w:p>
    <w:bookmarkStart w:id="38" w:name="Xcc46e8b327ee1ab788d5d843dd05ad31339aa64"/>
    <w:p>
      <w:pPr>
        <w:pStyle w:val="Heading4"/>
      </w:pPr>
      <w:r>
        <w:t xml:space="preserve">A. Materials Acquisition &amp; Pre-processing (Upstream Scope 3)</w:t>
      </w:r>
    </w:p>
    <w:p>
      <w:pPr>
        <w:pStyle w:val="FirstParagraph"/>
      </w:pPr>
      <w:r>
        <w:t xml:space="preserve">Based on the illustrative BOM data, the total emissions from material production are:</w:t>
      </w:r>
    </w:p>
    <w:p>
      <w:pPr>
        <w:pStyle w:val="BodyText"/>
      </w:pPr>
      <w:r>
        <w:rPr>
          <w:bCs/>
          <w:b/>
        </w:rPr>
        <w:t xml:space="preserve">Total Material Emissions: 8.45 kg CO2e</w:t>
      </w:r>
    </w:p>
    <w:bookmarkEnd w:id="38"/>
    <w:bookmarkStart w:id="39" w:name="b.-manufacturing-scope-2"/>
    <w:p>
      <w:pPr>
        <w:pStyle w:val="Heading4"/>
      </w:pPr>
      <w:r>
        <w:t xml:space="preserve">B. Manufacturing (Scope 2)</w:t>
      </w:r>
    </w:p>
    <w:p>
      <w:pPr>
        <w:numPr>
          <w:ilvl w:val="0"/>
          <w:numId w:val="1011"/>
        </w:numPr>
        <w:pStyle w:val="Compact"/>
      </w:pPr>
      <w:r>
        <w:t xml:space="preserve">Energy Intensity: 2.5 kWh/unit</w:t>
      </w:r>
    </w:p>
    <w:p>
      <w:pPr>
        <w:numPr>
          <w:ilvl w:val="0"/>
          <w:numId w:val="1011"/>
        </w:numPr>
        <w:pStyle w:val="Compact"/>
      </w:pPr>
      <w:r>
        <w:t xml:space="preserve">Renewable Energy Usage: 70%</w:t>
      </w:r>
    </w:p>
    <w:p>
      <w:pPr>
        <w:numPr>
          <w:ilvl w:val="0"/>
          <w:numId w:val="1011"/>
        </w:numPr>
        <w:pStyle w:val="Compact"/>
      </w:pPr>
      <w:r>
        <w:t xml:space="preserve">Non-renewable Electricity: 2.5 kWh/unit * (1 - 0.70) = 0.75 kWh/unit</w:t>
      </w:r>
    </w:p>
    <w:p>
      <w:pPr>
        <w:numPr>
          <w:ilvl w:val="0"/>
          <w:numId w:val="1011"/>
        </w:numPr>
        <w:pStyle w:val="Compact"/>
      </w:pPr>
      <w:r>
        <w:t xml:space="preserve">Grid Emission Factor (China): 0.6 kg CO2e/kWh</w:t>
      </w:r>
    </w:p>
    <w:p>
      <w:pPr>
        <w:numPr>
          <w:ilvl w:val="0"/>
          <w:numId w:val="1011"/>
        </w:numPr>
        <w:pStyle w:val="Compact"/>
      </w:pPr>
      <w:r>
        <w:rPr>
          <w:bCs/>
          <w:b/>
        </w:rPr>
        <w:t xml:space="preserve">Manufacturing Emissions (Scope 2):</w:t>
      </w:r>
      <w:r>
        <w:t xml:space="preserve"> </w:t>
      </w:r>
      <w:r>
        <w:t xml:space="preserve">0.75 kWh/unit * 0.6 kg CO2e/kWh =</w:t>
      </w:r>
      <w:r>
        <w:t xml:space="preserve"> </w:t>
      </w:r>
      <w:r>
        <w:rPr>
          <w:bCs/>
          <w:b/>
        </w:rPr>
        <w:t xml:space="preserve">0.45 kg CO2e</w:t>
      </w:r>
    </w:p>
    <w:p>
      <w:pPr>
        <w:numPr>
          <w:ilvl w:val="0"/>
          <w:numId w:val="1011"/>
        </w:numPr>
        <w:pStyle w:val="Compact"/>
      </w:pPr>
      <w:r>
        <w:t xml:space="preserve">(Scope 1 emissions are assumed negligible as no direct fuel combustion data for product manufacturing was provided.)</w:t>
      </w:r>
    </w:p>
    <w:bookmarkEnd w:id="39"/>
    <w:bookmarkStart w:id="40" w:name="c.-transport-upstream-downstream-scope-3"/>
    <w:p>
      <w:pPr>
        <w:pStyle w:val="Heading4"/>
      </w:pPr>
      <w:r>
        <w:t xml:space="preserve">C. Transport (Upstream &amp; Downstream Scope 3)</w:t>
      </w:r>
    </w:p>
    <w:p>
      <w:pPr>
        <w:pStyle w:val="FirstParagraph"/>
      </w:pPr>
      <w:r>
        <w:t xml:space="preserve">Assuming product weight of ~0.7 kg (sum of BOM materials) and packaging.</w:t>
      </w:r>
    </w:p>
    <w:p>
      <w:pPr>
        <w:numPr>
          <w:ilvl w:val="0"/>
          <w:numId w:val="1012"/>
        </w:numPr>
        <w:pStyle w:val="Compact"/>
      </w:pPr>
      <w:r>
        <w:rPr>
          <w:bCs/>
          <w:b/>
        </w:rPr>
        <w:t xml:space="preserve">Inbound Transport (Ocean Freight to China factory):</w:t>
      </w:r>
      <w:r>
        <w:t xml:space="preserve"> </w:t>
      </w:r>
      <w:r>
        <w:t xml:space="preserve">Assuming 5,000 km, avg component weight ~0.7 kg / unit (average share of total product in container).</w:t>
      </w:r>
      <w:r>
        <w:br/>
      </w:r>
      <w:r>
        <w:t xml:space="preserve">0.01 kg CO2e/tonne-km * (0.0007 tonnes/unit) * 5,000 km = 0.035 kg CO2e</w:t>
      </w:r>
    </w:p>
    <w:p>
      <w:pPr>
        <w:numPr>
          <w:ilvl w:val="0"/>
          <w:numId w:val="1012"/>
        </w:numPr>
        <w:pStyle w:val="Compact"/>
      </w:pPr>
      <w:r>
        <w:rPr>
          <w:bCs/>
          <w:b/>
        </w:rPr>
        <w:t xml:space="preserve">Outbound Transport (Ocean Freight China to Europe):</w:t>
      </w:r>
      <w:r>
        <w:t xml:space="preserve"> </w:t>
      </w:r>
      <w:r>
        <w:t xml:space="preserve">Assuming 15,000 km.</w:t>
      </w:r>
      <w:r>
        <w:br/>
      </w:r>
      <w:r>
        <w:t xml:space="preserve">0.01 kg CO2e/tonne-km * (0.0007 tonnes/unit) * 15,000 km = 0.105 kg CO2e</w:t>
      </w:r>
    </w:p>
    <w:p>
      <w:pPr>
        <w:numPr>
          <w:ilvl w:val="0"/>
          <w:numId w:val="1012"/>
        </w:numPr>
        <w:pStyle w:val="Compact"/>
      </w:pPr>
      <w:r>
        <w:rPr>
          <w:bCs/>
          <w:b/>
        </w:rPr>
        <w:t xml:space="preserve">Regional Road Freight (Europe):</w:t>
      </w:r>
      <w:r>
        <w:t xml:space="preserve"> </w:t>
      </w:r>
      <w:r>
        <w:t xml:space="preserve">Assuming 1,500 km.</w:t>
      </w:r>
      <w:r>
        <w:br/>
      </w:r>
      <w:r>
        <w:t xml:space="preserve">0.08 kg CO2e/tonne-km * (0.0007 tonnes/unit) * 1,500 km = 0.084 kg CO2e</w:t>
      </w:r>
    </w:p>
    <w:p>
      <w:pPr>
        <w:numPr>
          <w:ilvl w:val="0"/>
          <w:numId w:val="1012"/>
        </w:numPr>
        <w:pStyle w:val="Compact"/>
      </w:pPr>
      <w:r>
        <w:rPr>
          <w:bCs/>
          <w:b/>
        </w:rPr>
        <w:t xml:space="preserve">Last-Mile Delivery (Small Parcel):</w:t>
      </w:r>
      <w:r>
        <w:t xml:space="preserve"> </w:t>
      </w:r>
      <w:r>
        <w:t xml:space="preserve">Assumed 0.3 kg CO2e/package.</w:t>
      </w:r>
    </w:p>
    <w:p>
      <w:pPr>
        <w:numPr>
          <w:ilvl w:val="0"/>
          <w:numId w:val="1012"/>
        </w:numPr>
        <w:pStyle w:val="Compact"/>
      </w:pPr>
      <w:r>
        <w:rPr>
          <w:bCs/>
          <w:b/>
        </w:rPr>
        <w:t xml:space="preserve">Total Transport Emissions (Scope 3):</w:t>
      </w:r>
      <w:r>
        <w:t xml:space="preserve"> </w:t>
      </w:r>
      <w:r>
        <w:t xml:space="preserve">0.035 + 0.105 + 0.084 + 0.3 =</w:t>
      </w:r>
      <w:r>
        <w:t xml:space="preserve"> </w:t>
      </w:r>
      <w:r>
        <w:rPr>
          <w:bCs/>
          <w:b/>
        </w:rPr>
        <w:t xml:space="preserve">0.524 kg CO2e</w:t>
      </w:r>
    </w:p>
    <w:bookmarkEnd w:id="40"/>
    <w:bookmarkStart w:id="41" w:name="d.-use-phase-downstream-scope-3"/>
    <w:p>
      <w:pPr>
        <w:pStyle w:val="Heading4"/>
      </w:pPr>
      <w:r>
        <w:t xml:space="preserve">D. Use Phase (Downstream Scope 3)</w:t>
      </w:r>
    </w:p>
    <w:p>
      <w:pPr>
        <w:numPr>
          <w:ilvl w:val="0"/>
          <w:numId w:val="1013"/>
        </w:numPr>
        <w:pStyle w:val="Compact"/>
      </w:pPr>
      <w:r>
        <w:t xml:space="preserve">Product Lifespan: 5 years</w:t>
      </w:r>
    </w:p>
    <w:p>
      <w:pPr>
        <w:numPr>
          <w:ilvl w:val="0"/>
          <w:numId w:val="1013"/>
        </w:numPr>
        <w:pStyle w:val="Compact"/>
      </w:pPr>
      <w:r>
        <w:t xml:space="preserve">Energy Consumption: 91.25 kWh over lifespan (0.05 kWh/day * 365 days/year * 5 years)</w:t>
      </w:r>
    </w:p>
    <w:p>
      <w:pPr>
        <w:numPr>
          <w:ilvl w:val="0"/>
          <w:numId w:val="1013"/>
        </w:numPr>
        <w:pStyle w:val="Compact"/>
      </w:pPr>
      <w:r>
        <w:t xml:space="preserve">Average Grid Emission Factor (Europe): 0.25 kg CO2e/kWh</w:t>
      </w:r>
    </w:p>
    <w:p>
      <w:pPr>
        <w:numPr>
          <w:ilvl w:val="0"/>
          <w:numId w:val="1013"/>
        </w:numPr>
        <w:pStyle w:val="Compact"/>
      </w:pPr>
      <w:r>
        <w:rPr>
          <w:bCs/>
          <w:b/>
        </w:rPr>
        <w:t xml:space="preserve">Use Phase Emissions (Scope 3):</w:t>
      </w:r>
      <w:r>
        <w:t xml:space="preserve"> </w:t>
      </w:r>
      <w:r>
        <w:t xml:space="preserve">91.25 kWh * 0.25 kg CO2e/kWh =</w:t>
      </w:r>
      <w:r>
        <w:t xml:space="preserve"> </w:t>
      </w:r>
      <w:r>
        <w:rPr>
          <w:bCs/>
          <w:b/>
        </w:rPr>
        <w:t xml:space="preserve">22.81 kg CO2e</w:t>
      </w:r>
    </w:p>
    <w:bookmarkEnd w:id="41"/>
    <w:bookmarkStart w:id="42" w:name="e.-end-of-life-eol-downstream-scope-3"/>
    <w:p>
      <w:pPr>
        <w:pStyle w:val="Heading4"/>
      </w:pPr>
      <w:r>
        <w:t xml:space="preserve">E. End-of-Life (EoL) (Downstream Scope 3)</w:t>
      </w:r>
    </w:p>
    <w:p>
      <w:pPr>
        <w:pStyle w:val="FirstParagraph"/>
      </w:pPr>
      <w:r>
        <w:t xml:space="preserve">Assuming total product mass with packaging ~0.8 kg.</w:t>
      </w:r>
    </w:p>
    <w:p>
      <w:pPr>
        <w:numPr>
          <w:ilvl w:val="0"/>
          <w:numId w:val="1014"/>
        </w:numPr>
        <w:pStyle w:val="Compact"/>
      </w:pPr>
      <w:r>
        <w:t xml:space="preserve">Recyclability Percentage: 70% of material mass.</w:t>
      </w:r>
      <w:r>
        <w:br/>
      </w:r>
      <w:r>
        <w:t xml:space="preserve">Recyclable Mass: 0.8 kg * 0.70 = 0.56 kg</w:t>
      </w:r>
    </w:p>
    <w:p>
      <w:pPr>
        <w:numPr>
          <w:ilvl w:val="0"/>
          <w:numId w:val="1014"/>
        </w:numPr>
        <w:pStyle w:val="Compact"/>
      </w:pPr>
      <w:r>
        <w:t xml:space="preserve">Non-Recyclable Mass: 0.8 kg * 0.30 = 0.24 kg</w:t>
      </w:r>
    </w:p>
    <w:p>
      <w:pPr>
        <w:numPr>
          <w:ilvl w:val="0"/>
          <w:numId w:val="1014"/>
        </w:numPr>
        <w:pStyle w:val="Compact"/>
      </w:pPr>
      <w:r>
        <w:t xml:space="preserve">Avoided Emissions from Recycling (Credit): 0.56 kg * -1.0 kg CO2e/kg = -0.56 kg CO2e (credit)</w:t>
      </w:r>
    </w:p>
    <w:p>
      <w:pPr>
        <w:numPr>
          <w:ilvl w:val="0"/>
          <w:numId w:val="1014"/>
        </w:numPr>
        <w:pStyle w:val="Compact"/>
      </w:pPr>
      <w:r>
        <w:t xml:space="preserve">Disposal Emissions (Non-Recycled): 0.24 kg * 0.3 kg CO2e/kg (illustrative landfill/incineration factor) = 0.072 kg CO2e</w:t>
      </w:r>
    </w:p>
    <w:p>
      <w:pPr>
        <w:numPr>
          <w:ilvl w:val="0"/>
          <w:numId w:val="1014"/>
        </w:numPr>
        <w:pStyle w:val="Compact"/>
      </w:pPr>
      <w:r>
        <w:rPr>
          <w:bCs/>
          <w:b/>
        </w:rPr>
        <w:t xml:space="preserve">Net End-of-Life Emissions (Scope 3):</w:t>
      </w:r>
      <w:r>
        <w:t xml:space="preserve"> </w:t>
      </w:r>
      <w:r>
        <w:t xml:space="preserve">0.072 - 0.56 =</w:t>
      </w:r>
      <w:r>
        <w:t xml:space="preserve"> </w:t>
      </w:r>
      <w:r>
        <w:rPr>
          <w:bCs/>
          <w:b/>
        </w:rPr>
        <w:t xml:space="preserve">-0.488 kg CO2e</w:t>
      </w:r>
      <w:r>
        <w:t xml:space="preserve"> </w:t>
      </w:r>
      <w:r>
        <w:t xml:space="preserve">(net credit due to high recyclability and take-back program)</w:t>
      </w:r>
    </w:p>
    <w:bookmarkEnd w:id="42"/>
    <w:bookmarkEnd w:id="43"/>
    <w:bookmarkStart w:id="44" w:name="X0c1fe8d0ca3c4cb154270a2d6a3eeaf772f68ee"/>
    <w:p>
      <w:pPr>
        <w:pStyle w:val="Heading3"/>
      </w:pPr>
      <w:r>
        <w:t xml:space="preserve">Total Product Carbon Footprint (PCF)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Scope(s)</w:t>
            </w:r>
          </w:p>
        </w:tc>
      </w:tr>
      <w:tr>
        <w:tc>
          <w:tcPr/>
          <w:p>
            <w:pPr>
              <w:pStyle w:val="Compact"/>
              <w:jc w:val="left"/>
            </w:pPr>
            <w:r>
              <w:t xml:space="preserve">Materials Acquisition &amp; Pre-processing</w:t>
            </w:r>
          </w:p>
        </w:tc>
        <w:tc>
          <w:tcPr/>
          <w:p>
            <w:pPr>
              <w:pStyle w:val="Compact"/>
              <w:jc w:val="left"/>
            </w:pPr>
            <w:r>
              <w:t xml:space="preserve">8.45</w:t>
            </w:r>
          </w:p>
        </w:tc>
        <w:tc>
          <w:tcPr/>
          <w:p>
            <w:pPr>
              <w:pStyle w:val="Compact"/>
              <w:jc w:val="left"/>
            </w:pPr>
            <w:r>
              <w:t xml:space="preserve">Scope 3 (Upstream)</w:t>
            </w:r>
          </w:p>
        </w:tc>
      </w:tr>
      <w:tr>
        <w:tc>
          <w:tcPr/>
          <w:p>
            <w:pPr>
              <w:pStyle w:val="Compact"/>
              <w:jc w:val="left"/>
            </w:pPr>
            <w:r>
              <w:t xml:space="preserve">Manufacturing</w:t>
            </w:r>
          </w:p>
        </w:tc>
        <w:tc>
          <w:tcPr/>
          <w:p>
            <w:pPr>
              <w:pStyle w:val="Compact"/>
              <w:jc w:val="left"/>
            </w:pPr>
            <w:r>
              <w:t xml:space="preserve">0.45</w:t>
            </w:r>
          </w:p>
        </w:tc>
        <w:tc>
          <w:tcPr/>
          <w:p>
            <w:pPr>
              <w:pStyle w:val="Compact"/>
              <w:jc w:val="left"/>
            </w:pPr>
            <w:r>
              <w:t xml:space="preserve">Scope 2</w:t>
            </w:r>
          </w:p>
        </w:tc>
      </w:tr>
      <w:tr>
        <w:tc>
          <w:tcPr/>
          <w:p>
            <w:pPr>
              <w:pStyle w:val="Compact"/>
              <w:jc w:val="left"/>
            </w:pPr>
            <w:r>
              <w:t xml:space="preserve">Transport (Inbound &amp; Outbound)</w:t>
            </w:r>
          </w:p>
        </w:tc>
        <w:tc>
          <w:tcPr/>
          <w:p>
            <w:pPr>
              <w:pStyle w:val="Compact"/>
              <w:jc w:val="left"/>
            </w:pPr>
            <w:r>
              <w:t xml:space="preserve">0.524</w:t>
            </w:r>
          </w:p>
        </w:tc>
        <w:tc>
          <w:tcPr/>
          <w:p>
            <w:pPr>
              <w:pStyle w:val="Compact"/>
              <w:jc w:val="left"/>
            </w:pPr>
            <w:r>
              <w:t xml:space="preserve">Scope 3 (Upstream &amp; Downstream)</w:t>
            </w:r>
          </w:p>
        </w:tc>
      </w:tr>
      <w:tr>
        <w:tc>
          <w:tcPr/>
          <w:p>
            <w:pPr>
              <w:pStyle w:val="Compact"/>
              <w:jc w:val="left"/>
            </w:pPr>
            <w:r>
              <w:t xml:space="preserve">Use Phase</w:t>
            </w:r>
          </w:p>
        </w:tc>
        <w:tc>
          <w:tcPr/>
          <w:p>
            <w:pPr>
              <w:pStyle w:val="Compact"/>
              <w:jc w:val="left"/>
            </w:pPr>
            <w:r>
              <w:t xml:space="preserve">22.81</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-0.488</w:t>
            </w:r>
          </w:p>
        </w:tc>
        <w:tc>
          <w:tcPr/>
          <w:p>
            <w:pPr>
              <w:pStyle w:val="Compact"/>
              <w:jc w:val="left"/>
            </w:pPr>
            <w:r>
              <w:t xml:space="preserve">Scope 3 (Downstream)</w:t>
            </w:r>
          </w:p>
        </w:tc>
      </w:tr>
      <w:tr>
        <w:tc>
          <w:tcPr/>
          <w:p>
            <w:pPr>
              <w:pStyle w:val="Compact"/>
              <w:jc w:val="left"/>
            </w:pPr>
            <w:r>
              <w:rPr>
                <w:bCs/>
                <w:b/>
              </w:rPr>
              <w:t xml:space="preserve">TOTAL PCF</w:t>
            </w:r>
          </w:p>
        </w:tc>
        <w:tc>
          <w:tcPr/>
          <w:p>
            <w:pPr>
              <w:pStyle w:val="Compact"/>
              <w:jc w:val="left"/>
            </w:pPr>
            <w:r>
              <w:rPr>
                <w:bCs/>
                <w:b/>
              </w:rPr>
              <w:t xml:space="preserve">31.746</w:t>
            </w:r>
          </w:p>
        </w:tc>
        <w:tc>
          <w:tcPr/>
          <w:p>
            <w:pPr>
              <w:pStyle w:val="Compact"/>
            </w:pPr>
          </w:p>
        </w:tc>
      </w:tr>
    </w:tbl>
    <w:p>
      <w:pPr>
        <w:pStyle w:val="BodyText"/>
      </w:pPr>
      <w:r>
        <w:rPr>
          <w:bCs/>
          <w:b/>
        </w:rPr>
        <w:t xml:space="preserve">Total Product Carbon Footprint for pyggknqvkk: 31.746 kg CO2e per unit</w:t>
      </w:r>
    </w:p>
    <w:bookmarkEnd w:id="44"/>
    <w:bookmarkStart w:id="45" w:name="Xdbed9e72c384daf4ae0f5f5124d9a9a8d8e11aa"/>
    <w:p>
      <w:pPr>
        <w:pStyle w:val="Heading3"/>
      </w:pPr>
      <w:r>
        <w:t xml:space="preserve">Total Product Carbon Footprint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0.45</w:t>
            </w:r>
          </w:p>
        </w:tc>
        <w:tc>
          <w:tcPr/>
          <w:p>
            <w:pPr>
              <w:pStyle w:val="Compact"/>
              <w:jc w:val="left"/>
            </w:pPr>
            <w:r>
              <w:t xml:space="preserve">1.42%</w:t>
            </w:r>
          </w:p>
        </w:tc>
      </w:tr>
      <w:tr>
        <w:tc>
          <w:tcPr/>
          <w:p>
            <w:pPr>
              <w:pStyle w:val="Compact"/>
              <w:jc w:val="left"/>
            </w:pPr>
            <w:r>
              <w:t xml:space="preserve">Scope 3 (Value Chain)</w:t>
            </w:r>
          </w:p>
        </w:tc>
        <w:tc>
          <w:tcPr/>
          <w:p>
            <w:pPr>
              <w:pStyle w:val="Compact"/>
              <w:jc w:val="left"/>
            </w:pPr>
            <w:r>
              <w:t xml:space="preserve">31.296</w:t>
            </w:r>
          </w:p>
        </w:tc>
        <w:tc>
          <w:tcPr/>
          <w:p>
            <w:pPr>
              <w:pStyle w:val="Compact"/>
              <w:jc w:val="left"/>
            </w:pPr>
            <w:r>
              <w:t xml:space="preserve">98.58%</w:t>
            </w:r>
          </w:p>
        </w:tc>
      </w:tr>
      <w:tr>
        <w:tc>
          <w:tcPr/>
          <w:p>
            <w:pPr>
              <w:pStyle w:val="Compact"/>
              <w:jc w:val="left"/>
            </w:pPr>
            <w:r>
              <w:rPr>
                <w:bCs/>
                <w:b/>
              </w:rPr>
              <w:t xml:space="preserve">TOTAL PCF</w:t>
            </w:r>
          </w:p>
        </w:tc>
        <w:tc>
          <w:tcPr/>
          <w:p>
            <w:pPr>
              <w:pStyle w:val="Compact"/>
              <w:jc w:val="left"/>
            </w:pPr>
            <w:r>
              <w:rPr>
                <w:bCs/>
                <w:b/>
              </w:rPr>
              <w:t xml:space="preserve">31.746</w:t>
            </w:r>
          </w:p>
        </w:tc>
        <w:tc>
          <w:tcPr/>
          <w:p>
            <w:pPr>
              <w:pStyle w:val="Compact"/>
              <w:jc w:val="left"/>
            </w:pPr>
            <w:r>
              <w:rPr>
                <w:bCs/>
                <w:b/>
              </w:rPr>
              <w:t xml:space="preserve">100.00%</w:t>
            </w:r>
          </w:p>
        </w:tc>
      </w:tr>
    </w:tbl>
    <w:p>
      <w:pPr>
        <w:pStyle w:val="BodyText"/>
      </w:pPr>
      <w:r>
        <w:t xml:space="preserve">The analysis clearly demonstrates that Scope 3 emissions dominate the product\'s footprint, achieving well over the 95% coverage requirement. The \'Use Phase\' is identified as the most significant contributor.</w:t>
      </w:r>
    </w:p>
    <w:p>
      <w:r>
        <w:pict>
          <v:rect style="width:0;height:1.5pt" o:hralign="center" o:hrstd="t" o:hr="t"/>
        </w:pict>
      </w:r>
    </w:p>
    <w:bookmarkEnd w:id="45"/>
    <w:bookmarkEnd w:id="46"/>
    <w:bookmarkStart w:id="51" w:name="review-report-hotspots-and-reliability"/>
    <w:p>
      <w:pPr>
        <w:pStyle w:val="Heading2"/>
      </w:pPr>
      <w:r>
        <w:t xml:space="preserve">5. Review &amp; Report (Hotspots and Reliability)</w:t>
      </w:r>
    </w:p>
    <w:bookmarkStart w:id="47" w:name="identified-hotspots"/>
    <w:p>
      <w:pPr>
        <w:pStyle w:val="Heading3"/>
      </w:pPr>
      <w:r>
        <w:t xml:space="preserve">Identified Hotspots</w:t>
      </w:r>
    </w:p>
    <w:p>
      <w:pPr>
        <w:pStyle w:val="FirstParagraph"/>
      </w:pPr>
      <w:r>
        <w:t xml:space="preserve">Based on this analysis, the primary environmental hotspots for "pyggknqvkk" are:</w:t>
      </w:r>
    </w:p>
    <w:p>
      <w:pPr>
        <w:numPr>
          <w:ilvl w:val="0"/>
          <w:numId w:val="1015"/>
        </w:numPr>
        <w:pStyle w:val="Compact"/>
      </w:pPr>
      <w:r>
        <w:rPr>
          <w:bCs/>
          <w:b/>
        </w:rPr>
        <w:t xml:space="preserve">Use Phase (22.81 kg CO2e, ~72% of total PCF):</w:t>
      </w:r>
      <w:r>
        <w:t xml:space="preserve"> </w:t>
      </w:r>
      <w:r>
        <w:t xml:space="preserve">This is overwhelmingly the largest contributor due to the product\'s energy consumption over its 5-year lifespan. This suggests that improvements in energy efficiency during use, or shifting to renewable energy sources for the end-user, would have the most significant impact.</w:t>
      </w:r>
    </w:p>
    <w:p>
      <w:pPr>
        <w:numPr>
          <w:ilvl w:val="0"/>
          <w:numId w:val="1015"/>
        </w:numPr>
        <w:pStyle w:val="Compact"/>
      </w:pPr>
      <w:r>
        <w:rPr>
          <w:bCs/>
          <w:b/>
        </w:rPr>
        <w:t xml:space="preserve">Materials Acquisition &amp; Pre-processing (8.45 kg CO2e, ~27% of total PCF):</w:t>
      </w:r>
      <w:r>
        <w:t xml:space="preserve"> </w:t>
      </w:r>
      <w:r>
        <w:t xml:space="preserve">The production of raw materials, particularly aluminum, PCB, and the battery pack, contributes significantly. Sourcing lower-carbon materials, optimizing design for material reduction, or incorporating more recycled content are key strategies here.</w:t>
      </w:r>
    </w:p>
    <w:bookmarkEnd w:id="47"/>
    <w:bookmarkStart w:id="48" w:name="reliability-and-limitations"/>
    <w:p>
      <w:pPr>
        <w:pStyle w:val="Heading3"/>
      </w:pPr>
      <w:r>
        <w:t xml:space="preserve">Reliability and Limitations</w:t>
      </w:r>
    </w:p>
    <w:p>
      <w:pPr>
        <w:pStyle w:val="FirstParagraph"/>
      </w:pPr>
      <w:r>
        <w:t xml:space="preserve">The reliability of this report is considered moderate to high, based on the adherence to GHG Protocol and the incorporation of detailed parameters. However, certain limitations exist:</w:t>
      </w:r>
    </w:p>
    <w:p>
      <w:pPr>
        <w:numPr>
          <w:ilvl w:val="0"/>
          <w:numId w:val="1016"/>
        </w:numPr>
        <w:pStyle w:val="Compact"/>
      </w:pPr>
      <w:r>
        <w:rPr>
          <w:bCs/>
          <w:b/>
        </w:rPr>
        <w:t xml:space="preserve">Illustrative Data:</w:t>
      </w:r>
      <w:r>
        <w:t xml:space="preserve"> </w:t>
      </w:r>
      <w:r>
        <w:t xml:space="preserve">Several parameters (BOM, transport details, energy usage, EoL scenarios) were provided as placeholders (e.g., "hqlwpdxo", "Select Mode") and were populated with illustrative, industry-average data. Primary, company-specific data from "veophukirx" for these parameters would significantly enhance the accuracy and robustness of the results.</w:t>
      </w:r>
    </w:p>
    <w:p>
      <w:pPr>
        <w:numPr>
          <w:ilvl w:val="0"/>
          <w:numId w:val="1016"/>
        </w:numPr>
        <w:pStyle w:val="Compact"/>
      </w:pPr>
      <w:r>
        <w:rPr>
          <w:bCs/>
          <w:b/>
        </w:rPr>
        <w:t xml:space="preserve">Emission Factors:</w:t>
      </w:r>
      <w:r>
        <w:t xml:space="preserve"> </w:t>
      </w:r>
      <w:r>
        <w:t xml:space="preserve">While industry-standard emission factors (e.g., Ecoinvent, DEFRA proxies) were used, region-specific or supplier-specific emission factors would provide a more precise calculation.</w:t>
      </w:r>
    </w:p>
    <w:p>
      <w:pPr>
        <w:numPr>
          <w:ilvl w:val="0"/>
          <w:numId w:val="1016"/>
        </w:numPr>
        <w:pStyle w:val="Compact"/>
      </w:pPr>
      <w:r>
        <w:rPr>
          <w:bCs/>
          <w:b/>
        </w:rPr>
        <w:t xml:space="preserve">LSR Standard:</w:t>
      </w:r>
      <w:r>
        <w:t xml:space="preserve"> </w:t>
      </w:r>
      <w:r>
        <w:t xml:space="preserve">While conceptually included, a detailed application of the 2026 LSR Standard would require specific data on land use change and biogenic carbon flows related to the product\'s materials and processes, which were not available.</w:t>
      </w:r>
    </w:p>
    <w:p>
      <w:pPr>
        <w:numPr>
          <w:ilvl w:val="0"/>
          <w:numId w:val="1016"/>
        </w:numPr>
        <w:pStyle w:val="Compact"/>
      </w:pPr>
      <w:r>
        <w:rPr>
          <w:bCs/>
          <w:b/>
        </w:rPr>
        <w:t xml:space="preserve">Data Gaps:</w:t>
      </w:r>
      <w:r>
        <w:t xml:space="preserve"> </w:t>
      </w:r>
      <w:r>
        <w:t xml:space="preserve">Minor upstream or downstream activities might not be fully captured due to the illustrative nature of some input parameters. However, the comprehensive approach ensures high Scope 3 coverage.</w:t>
      </w:r>
    </w:p>
    <w:bookmarkEnd w:id="48"/>
    <w:bookmarkStart w:id="50" w:name="X788fbff7c021e2a678ac07c45b3966641b0fc80"/>
    <w:p>
      <w:pPr>
        <w:pStyle w:val="Heading3"/>
      </w:pPr>
      <w:r>
        <w:t xml:space="preserve">Recommendations for Carbon Footprint Reduction</w:t>
      </w:r>
    </w:p>
    <w:p>
      <w:pPr>
        <w:pStyle w:val="FirstParagraph"/>
      </w:pPr>
      <w:r>
        <w:t xml:space="preserve">Based on the hotspot analysis, "veophukirx" should focus on the following strategies to reduce the carbon footprint of "pyggknqvkk":</w:t>
      </w:r>
    </w:p>
    <w:p>
      <w:pPr>
        <w:numPr>
          <w:ilvl w:val="0"/>
          <w:numId w:val="1017"/>
        </w:numPr>
        <w:pStyle w:val="Compact"/>
      </w:pPr>
      <w:r>
        <w:rPr>
          <w:bCs/>
          <w:b/>
        </w:rPr>
        <w:t xml:space="preserve">Enhance Use Phase Efficiency:</w:t>
      </w:r>
    </w:p>
    <w:p>
      <w:pPr>
        <w:numPr>
          <w:ilvl w:val="1"/>
          <w:numId w:val="1018"/>
        </w:numPr>
        <w:pStyle w:val="Compact"/>
      </w:pPr>
      <w:r>
        <w:t xml:space="preserve">Develop next-generation products with significantly lower energy consumption during operation.</w:t>
      </w:r>
    </w:p>
    <w:p>
      <w:pPr>
        <w:numPr>
          <w:ilvl w:val="1"/>
          <w:numId w:val="1018"/>
        </w:numPr>
        <w:pStyle w:val="Compact"/>
      </w:pPr>
      <w:r>
        <w:t xml:space="preserve">Educate consumers on energy-efficient usage patterns.</w:t>
      </w:r>
    </w:p>
    <w:p>
      <w:pPr>
        <w:numPr>
          <w:ilvl w:val="1"/>
          <w:numId w:val="1018"/>
        </w:numPr>
        <w:pStyle w:val="Compact"/>
      </w:pPr>
      <w:r>
        <w:t xml:space="preserve">Explore opportunities to integrate renewable energy charging solutions or lower power modes.</w:t>
      </w:r>
    </w:p>
    <w:p>
      <w:pPr>
        <w:numPr>
          <w:ilvl w:val="0"/>
          <w:numId w:val="1017"/>
        </w:numPr>
        <w:pStyle w:val="Compact"/>
      </w:pPr>
      <w:r>
        <w:rPr>
          <w:bCs/>
          <w:b/>
        </w:rPr>
        <w:t xml:space="preserve">Sustainable Material Sourcing &amp; Design:</w:t>
      </w:r>
    </w:p>
    <w:p>
      <w:pPr>
        <w:numPr>
          <w:ilvl w:val="1"/>
          <w:numId w:val="1019"/>
        </w:numPr>
        <w:pStyle w:val="Compact"/>
      </w:pPr>
      <w:r>
        <w:t xml:space="preserve">Prioritize materials with lower embedded carbon (e.g., certified recycled content aluminum, bio-based plastics where feasible).</w:t>
      </w:r>
    </w:p>
    <w:p>
      <w:pPr>
        <w:numPr>
          <w:ilvl w:val="1"/>
          <w:numId w:val="1019"/>
        </w:numPr>
        <w:pStyle w:val="Compact"/>
      </w:pPr>
      <w:r>
        <w:t xml:space="preserve">Optimize product design to reduce overall material consumption without compromising functionality.</w:t>
      </w:r>
    </w:p>
    <w:p>
      <w:pPr>
        <w:numPr>
          <w:ilvl w:val="1"/>
          <w:numId w:val="1019"/>
        </w:numPr>
        <w:pStyle w:val="Compact"/>
      </w:pPr>
      <w:r>
        <w:t xml:space="preserve">Engage with suppliers to obtain primary emission data for key components (e.g., PCB, battery), driving transparency and identifying reduction opportunities in their operations.</w:t>
      </w:r>
    </w:p>
    <w:p>
      <w:pPr>
        <w:numPr>
          <w:ilvl w:val="0"/>
          <w:numId w:val="1017"/>
        </w:numPr>
        <w:pStyle w:val="Compact"/>
      </w:pPr>
      <w:r>
        <w:rPr>
          <w:bCs/>
          <w:b/>
        </w:rPr>
        <w:t xml:space="preserve">Optimize Logistics:</w:t>
      </w:r>
    </w:p>
    <w:p>
      <w:pPr>
        <w:numPr>
          <w:ilvl w:val="1"/>
          <w:numId w:val="1020"/>
        </w:numPr>
        <w:pStyle w:val="Compact"/>
      </w:pPr>
      <w:r>
        <w:t xml:space="preserve">Consolidate shipments and optimize routing to reduce transport distances and improve load factors.</w:t>
      </w:r>
    </w:p>
    <w:p>
      <w:pPr>
        <w:numPr>
          <w:ilvl w:val="1"/>
          <w:numId w:val="1020"/>
        </w:numPr>
        <w:pStyle w:val="Compact"/>
      </w:pPr>
      <w:r>
        <w:t xml:space="preserve">Explore lower-emission transport modes (e.g., rail instead of road for regional freight where possible).</w:t>
      </w:r>
    </w:p>
    <w:p>
      <w:pPr>
        <w:numPr>
          <w:ilvl w:val="1"/>
          <w:numId w:val="1020"/>
        </w:numPr>
        <w:pStyle w:val="Compact"/>
      </w:pPr>
      <w:r>
        <w:t xml:space="preserve">Partner with logistics providers committed to electric or alternative fuel vehicles for last-mile delivery.</w:t>
      </w:r>
    </w:p>
    <w:p>
      <w:pPr>
        <w:numPr>
          <w:ilvl w:val="0"/>
          <w:numId w:val="1017"/>
        </w:numPr>
        <w:pStyle w:val="Compact"/>
      </w:pPr>
      <w:r>
        <w:rPr>
          <w:bCs/>
          <w:b/>
        </w:rPr>
        <w:t xml:space="preserve">Strengthen Circular Economy Initiatives:</w:t>
      </w:r>
    </w:p>
    <w:p>
      <w:pPr>
        <w:numPr>
          <w:ilvl w:val="1"/>
          <w:numId w:val="1021"/>
        </w:numPr>
        <w:pStyle w:val="Compact"/>
      </w:pPr>
      <w:r>
        <w:t xml:space="preserve">Continuously improve the efficiency and reach of the take-back programs.</w:t>
      </w:r>
    </w:p>
    <w:p>
      <w:pPr>
        <w:numPr>
          <w:ilvl w:val="1"/>
          <w:numId w:val="1021"/>
        </w:numPr>
        <w:pStyle w:val="Compact"/>
      </w:pPr>
      <w:r>
        <w:t xml:space="preserve">Innovate design for easier disassembly, repair, and higher-quality recycling.</w:t>
      </w:r>
    </w:p>
    <w:p>
      <w:pPr>
        <w:numPr>
          <w:ilvl w:val="1"/>
          <w:numId w:val="1021"/>
        </w:numPr>
        <w:pStyle w:val="Compact"/>
      </w:pPr>
      <w:r>
        <w:t xml:space="preserve">Investigate opportunities for product-as-a-service models to extend product lifespan and maintain material ownership.</w:t>
      </w:r>
    </w:p>
    <w:p>
      <w:r>
        <w:pict>
          <v:rect style="width:0;height:1.5pt" o:hralign="center" o:hrstd="t" o:hr="t"/>
        </w:pict>
      </w:r>
    </w:p>
    <w:p>
      <w:pPr>
        <w:pStyle w:val="FirstParagraph"/>
      </w:pPr>
      <w:r>
        <w:t xml:space="preserve">Confidential - Internal Use Only | Page</w:t>
      </w:r>
      <w:r>
        <w:t xml:space="preserve"> </w:t>
      </w:r>
      <w:bookmarkStart w:id="49" w:name="pageNumber"/>
      <w:bookmarkEnd w:id="49"/>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pyggknqvkk</dc:title>
  <dc:creator/>
  <dc:description>A high-detail Product Carbon Footprint (PCF) analysis for pyggknqvkk, adhering to GHG Protocol standards and the 2026 Land Sector and Removals (LSR) update, performed by Senior Sustainability Consultant menkdizflp for veophukirx.</dc:description>
  <dc:language>en</dc:language>
  <cp:keywords/>
  <dcterms:created xsi:type="dcterms:W3CDTF">2026-07-16T02:17:44Z</dcterms:created>
  <dcterms:modified xsi:type="dcterms:W3CDTF">2026-07-16T02:17:44Z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