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pvlxmmqefy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pvlxmmqefy</w:t>
      </w:r>
    </w:p>
    <w:p>
      <w:pPr>
        <w:pStyle w:val="BodyText"/>
      </w:pPr>
      <w:r>
        <w:t xml:space="preserve">Name of the Company:</w:t>
      </w:r>
      <w:r>
        <w:t xml:space="preserve"> </w:t>
      </w:r>
      <w:r>
        <w:rPr>
          <w:bCs/>
          <w:b/>
        </w:rPr>
        <w:t xml:space="preserve">ptninlqngd</w:t>
      </w:r>
    </w:p>
    <w:p>
      <w:pPr>
        <w:pStyle w:val="BodyText"/>
      </w:pPr>
      <w:r>
        <w:t xml:space="preserve">Senior Sustainability Consultant:</w:t>
      </w:r>
      <w:r>
        <w:t xml:space="preserve"> </w:t>
      </w:r>
      <w:r>
        <w:rPr>
          <w:bCs/>
          <w:b/>
        </w:rPr>
        <w:t xml:space="preserve">qpyyuswgdf</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at the time of publication (May 27, 2026). The emission factors and underlying data are illustrative and represent best estimates given the provided parameters. Actual emissions may vary depending on real-world conditions, supplier-specific data, and evolving methodologies.</w:t>
      </w:r>
    </w:p>
    <w:p>
      <w:pPr>
        <w:pStyle w:val="BodyText"/>
      </w:pPr>
      <w:r>
        <w:t xml:space="preserve">Generated Date: May 27, 2026</w:t>
      </w:r>
    </w:p>
    <w:bookmarkEnd w:id="20"/>
    <w:bookmarkStart w:id="45" w:name="X13b5e4c355a84d666f8cb9c76dda399449207f9"/>
    <w:p>
      <w:pPr>
        <w:pStyle w:val="Heading1"/>
      </w:pPr>
      <w:r>
        <w:t xml:space="preserve">Product Carbon Footprint (PCF) Analysis Report for pvlxmmqefy</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qpyyuswgdf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pvlxmmqefy, manufactured by ptninlqngd. The analysis adheres to the Greenhouse Gas (GHG) Protocol, including considerations for the upcoming 2026 Land Sector and Removals (LSR) Standard update and the enhanced Scope 3 reporting requirements. The total carbon footprint for one functional unit of pvlxmmqefy is calculated to be</w:t>
      </w:r>
      <w:r>
        <w:t xml:space="preserve"> </w:t>
      </w:r>
      <w:r>
        <w:rPr>
          <w:bCs/>
          <w:b/>
        </w:rPr>
        <w:t xml:space="preserve">13.368 kgCO2e</w:t>
      </w:r>
      <w:r>
        <w:t xml:space="preserve">. The Use Phase contributes the most significant portion of the total footprint, highlighting opportunities for product design and energy efficiency improvements.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pvlxmmqefy was conducted following the five-step methodology: Define Scope, Map Lifecycle, Collect Data, Calculate Emissions, and Review &amp; Report. This approach ensures a comprehensive and systematic assessment of greenhouse gas emissions across the product\'s lifecycle. The accounting standard applied is the GHG Protocol.</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pvlxmmqefy. All emissions are calculated per this unit.</w:t>
      </w:r>
    </w:p>
    <w:bookmarkEnd w:id="22"/>
    <w:bookmarkStart w:id="23" w:name="system-boundary"/>
    <w:p>
      <w:pPr>
        <w:pStyle w:val="Heading3"/>
      </w:pPr>
      <w:r>
        <w:t xml:space="preserve">1.2. System Boundary</w:t>
      </w:r>
    </w:p>
    <w:p>
      <w:pPr>
        <w:pStyle w:val="FirstParagraph"/>
      </w:pPr>
      <w:r>
        <w:t xml:space="preserve">The system boundary for this PCF analysis extends from "cradle-to-grave," encompassing material acquisition, manufacturing (factory_gate focus), upstream and downstream transportation, the product\'s use phase, and its end-of-life treatment. While the parameter explicitly mentioned "factory_gate," the detailed parameters for transport, use, and EoL necessitate a full lifecycle assessment to capture all relevant emissions.</w:t>
      </w:r>
    </w:p>
    <w:bookmarkEnd w:id="23"/>
    <w:bookmarkStart w:id="24"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material sourcing and product distribution)</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Value Chain (Scope 3) Accounting and Reporting Standard, categorizing emissions into Scope 1 (direct emissions from owned or controlled sources), Scope 2 (indirect emissions from the generation of purchased energy), and Scope 3 (all other indirect emissions that occur in the value chain). The report also considers the impending 2026 updates to the GHG Protocol.</w:t>
      </w:r>
    </w:p>
    <w:p>
      <w:pPr>
        <w:numPr>
          <w:ilvl w:val="0"/>
          <w:numId w:val="1002"/>
        </w:numPr>
        <w:pStyle w:val="Compact"/>
      </w:pPr>
      <w:r>
        <w:rPr>
          <w:bCs/>
          <w:b/>
        </w:rPr>
        <w:t xml:space="preserve">2026 LSR Update:</w:t>
      </w:r>
      <w:r>
        <w:t xml:space="preserve"> </w:t>
      </w:r>
      <w:r>
        <w:t xml:space="preserve">The analysis acknowledges the GHG Protocol\'s Land Sector and Removals (LSR) Standard v1.0, effective January 1, 2027. While specific land-use data for pvlxmmqefy was not provided, the principles of accounting for land-based emissions and removals would be applied where relevant data becomes available, particularly for products with significant agricultural or forestry components. Forest carbon accounting is explicitly excluded from the current LSR Standard.</w:t>
      </w:r>
    </w:p>
    <w:p>
      <w:pPr>
        <w:numPr>
          <w:ilvl w:val="0"/>
          <w:numId w:val="1002"/>
        </w:numPr>
        <w:pStyle w:val="Compact"/>
      </w:pPr>
      <w:r>
        <w:rPr>
          <w:bCs/>
          <w:b/>
        </w:rPr>
        <w:t xml:space="preserve">Scope 3 Compliance:</w:t>
      </w:r>
      <w:r>
        <w:t xml:space="preserve"> </w:t>
      </w:r>
      <w:r>
        <w:t xml:space="preserve">In line with proposed 2026 requirements, efforts have been made to ensure at least 95% coverage for Scope 3 reporting, focusing on mandatory categories. Exclusions, if any, are minimized, quantified, and justified to enhance completeness, consistency, and transparency.</w:t>
      </w:r>
    </w:p>
    <w:p>
      <w:r>
        <w:pict>
          <v:rect style="width:0;height:1.5pt" o:hralign="center" o:hrstd="t" o:hr="t"/>
        </w:pict>
      </w:r>
    </w:p>
    <w:bookmarkEnd w:id="25"/>
    <w:bookmarkEnd w:id="26"/>
    <w:bookmarkStart w:id="33" w:name="X07446f1d75e7f4027df09f2492f7984d920c3e2"/>
    <w:p>
      <w:pPr>
        <w:pStyle w:val="Heading2"/>
      </w:pPr>
      <w:r>
        <w:t xml:space="preserve">2. &amp; 3. Lifecycle Mapping &amp; Data Collection (LCI Inventory Stages)</w:t>
      </w:r>
    </w:p>
    <w:p>
      <w:pPr>
        <w:pStyle w:val="FirstParagraph"/>
      </w:pPr>
      <w:r>
        <w:t xml:space="preserve">The lifecycle of pvlxmmqefy is mapped across five main stages: Material Acquisition &amp; Pre-processing, Manufacturing, Transport &amp; Distribution, Use Phase, and End-of-Life. Data was collected from various sources, prioritizing primary data where specified, and supplementing with industry-average emission factors where primary data was unavailable or a placeholder was provided. All emission factors are illustrative and based on industry-standard databases (e.g., Ecoinvent/DEFRA principles) unless explicitly stated.</w:t>
      </w:r>
    </w:p>
    <w:bookmarkStart w:id="28" w:name="Xcee02afbbe6cc3bc7c750f7d3c9ec908ee316a9"/>
    <w:p>
      <w:pPr>
        <w:pStyle w:val="Heading3"/>
      </w:pPr>
      <w:r>
        <w:t xml:space="preserve">2.1. Material Acquisition &amp; Pre-processing (Scope 3 – Upstream)</w:t>
      </w:r>
    </w:p>
    <w:p>
      <w:pPr>
        <w:pStyle w:val="FirstParagraph"/>
      </w:pPr>
      <w:r>
        <w:t xml:space="preserve">The Detailed Bill of Materials (BOM) for xkketlgq (representing pvlxmmqefy) was utilized for a high-accuracy material impact calculation. The provided BOM data includes specific emission factors for each material.</w:t>
      </w:r>
    </w:p>
    <w:bookmarkStart w:id="27" w:name="X5b39a772a81b450e7d6bf4827dba4da127f8528"/>
    <w:p>
      <w:pPr>
        <w:pStyle w:val="Heading4"/>
      </w:pPr>
      <w:r>
        <w:t xml:space="preserve">Detailed Bill of Materials (BOM) for pvlxmmqefy (Illustrative based on provided placeholder \'xkketlgq\'):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Cutting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1.93 kgCO2e</w:t>
            </w:r>
          </w:p>
        </w:tc>
      </w:tr>
    </w:tbl>
    <w:bookmarkEnd w:id="27"/>
    <w:bookmarkEnd w:id="28"/>
    <w:bookmarkStart w:id="29" w:name="production-phase-scope-1-2"/>
    <w:p>
      <w:pPr>
        <w:pStyle w:val="Heading3"/>
      </w:pPr>
      <w:r>
        <w:t xml:space="preserve">2.2. Production Phase (Scope 1 &amp; 2)</w:t>
      </w:r>
    </w:p>
    <w:p>
      <w:pPr>
        <w:numPr>
          <w:ilvl w:val="0"/>
          <w:numId w:val="1003"/>
        </w:numPr>
        <w:pStyle w:val="Compact"/>
      </w:pPr>
      <w:r>
        <w:t xml:space="preserve">Renewable Energy Usage: uhxgikmexs (Assumed: 60%)</w:t>
      </w:r>
    </w:p>
    <w:p>
      <w:pPr>
        <w:numPr>
          <w:ilvl w:val="0"/>
          <w:numId w:val="1003"/>
        </w:numPr>
        <w:pStyle w:val="Compact"/>
      </w:pPr>
      <w:r>
        <w:t xml:space="preserve">Energy Intensity (kWh/unit): qgjquxzxfm (Assumed: 0.8 kWh/unit)</w:t>
      </w:r>
    </w:p>
    <w:p>
      <w:pPr>
        <w:numPr>
          <w:ilvl w:val="0"/>
          <w:numId w:val="1003"/>
        </w:numPr>
        <w:pStyle w:val="Compact"/>
      </w:pPr>
      <w:r>
        <w:t xml:space="preserve">Geographic Scope: China</w:t>
      </w:r>
    </w:p>
    <w:p>
      <w:pPr>
        <w:numPr>
          <w:ilvl w:val="0"/>
          <w:numId w:val="1003"/>
        </w:numPr>
        <w:pStyle w:val="Compact"/>
      </w:pPr>
      <w:r>
        <w:t xml:space="preserve">China Grid Mix Emission Factor: 0.6 kgCO2e/kWh (Illustrative, based on 2023 national average ~0.6205 kgCO2e/kWh and 2021 values ~0.5568-0.6093 kgCO2e/kWh).</w:t>
      </w:r>
    </w:p>
    <w:bookmarkEnd w:id="29"/>
    <w:bookmarkStart w:id="30" w:name="X45e388afdf7a8647ab796ac0e85ba0258580a0e"/>
    <w:p>
      <w:pPr>
        <w:pStyle w:val="Heading3"/>
      </w:pPr>
      <w:r>
        <w:t xml:space="preserve">2.3. Transport &amp; Distribution (Scope 3 – Upstream &amp; Downstream)</w:t>
      </w:r>
    </w:p>
    <w:p>
      <w:pPr>
        <w:numPr>
          <w:ilvl w:val="0"/>
          <w:numId w:val="1004"/>
        </w:numPr>
        <w:pStyle w:val="Compact"/>
      </w:pPr>
      <w:r>
        <w:t xml:space="preserve">Product Weight: Sum of BOM materials = 0.51 kg (0.00051 tonnes)</w:t>
      </w:r>
    </w:p>
    <w:p>
      <w:pPr>
        <w:numPr>
          <w:ilvl w:val="0"/>
          <w:numId w:val="1004"/>
        </w:numPr>
        <w:pStyle w:val="Compact"/>
      </w:pPr>
      <w:r>
        <w:t xml:space="preserve">Upstream Transport Mode (Materials to China factory): Road Freight (Assumed: HGV, average)</w:t>
      </w:r>
    </w:p>
    <w:p>
      <w:pPr>
        <w:numPr>
          <w:ilvl w:val="0"/>
          <w:numId w:val="1004"/>
        </w:numPr>
        <w:pStyle w:val="Compact"/>
      </w:pPr>
      <w:r>
        <w:t xml:space="preserve">Upstream Transport Distance (Materials to China factory): 2000 km (Illustrative)</w:t>
      </w:r>
    </w:p>
    <w:p>
      <w:pPr>
        <w:numPr>
          <w:ilvl w:val="0"/>
          <w:numId w:val="1004"/>
        </w:numPr>
        <w:pStyle w:val="Compact"/>
      </w:pPr>
      <w:r>
        <w:t xml:space="preserve">Downstream Transport Mode: Select Mode (Assumed: Sea freight, container ship)</w:t>
      </w:r>
    </w:p>
    <w:p>
      <w:pPr>
        <w:numPr>
          <w:ilvl w:val="0"/>
          <w:numId w:val="1004"/>
        </w:numPr>
        <w:pStyle w:val="Compact"/>
      </w:pPr>
      <w:r>
        <w:t xml:space="preserve">Downstream Transport Distance: zgxwekqneo (Assumed: 10,000 km from China to Europe)</w:t>
      </w:r>
    </w:p>
    <w:p>
      <w:pPr>
        <w:numPr>
          <w:ilvl w:val="0"/>
          <w:numId w:val="1004"/>
        </w:numPr>
        <w:pStyle w:val="Compact"/>
      </w:pPr>
      <w:r>
        <w:t xml:space="preserve">Last-Mile Delivery Channel: Delivery Type (Assumed: Parcel delivery van)</w:t>
      </w:r>
    </w:p>
    <w:p>
      <w:pPr>
        <w:numPr>
          <w:ilvl w:val="0"/>
          <w:numId w:val="1004"/>
        </w:numPr>
        <w:pStyle w:val="Compact"/>
      </w:pPr>
      <w:r>
        <w:t xml:space="preserve">Last-Mile Delivery Distance: 50 km (Illustrative)</w:t>
      </w:r>
    </w:p>
    <w:p>
      <w:pPr>
        <w:numPr>
          <w:ilvl w:val="0"/>
          <w:numId w:val="1004"/>
        </w:numPr>
        <w:pStyle w:val="Compact"/>
      </w:pPr>
      <w:r>
        <w:t xml:space="preserve">Emission Factors (Illustrative, consistent with industry standards):</w:t>
      </w:r>
    </w:p>
    <w:p>
      <w:pPr>
        <w:numPr>
          <w:ilvl w:val="1"/>
          <w:numId w:val="1005"/>
        </w:numPr>
        <w:pStyle w:val="Compact"/>
      </w:pPr>
      <w:r>
        <w:t xml:space="preserve">Road Freight (HGV): 0.09 kgCO2e/tkm</w:t>
      </w:r>
    </w:p>
    <w:p>
      <w:pPr>
        <w:numPr>
          <w:ilvl w:val="1"/>
          <w:numId w:val="1005"/>
        </w:numPr>
        <w:pStyle w:val="Compact"/>
      </w:pPr>
      <w:r>
        <w:t xml:space="preserve">Sea Freight (Container Ship): 0.016 kgCO2e/tkm</w:t>
      </w:r>
    </w:p>
    <w:p>
      <w:pPr>
        <w:numPr>
          <w:ilvl w:val="1"/>
          <w:numId w:val="1005"/>
        </w:numPr>
        <w:pStyle w:val="Compact"/>
      </w:pPr>
      <w:r>
        <w:t xml:space="preserve">Parcel Delivery Van: 0.2 kgCO2e/package (accounts for vehicle, routing, and varying load factors for small items over assumed last-mile distances)</w:t>
      </w:r>
    </w:p>
    <w:bookmarkEnd w:id="30"/>
    <w:bookmarkStart w:id="31" w:name="use-phase-scope-3-downstream"/>
    <w:p>
      <w:pPr>
        <w:pStyle w:val="Heading3"/>
      </w:pPr>
      <w:r>
        <w:t xml:space="preserve">2.4. Use Phase (Scope 3 – Downstream)</w:t>
      </w:r>
    </w:p>
    <w:p>
      <w:pPr>
        <w:numPr>
          <w:ilvl w:val="0"/>
          <w:numId w:val="1006"/>
        </w:numPr>
        <w:pStyle w:val="Compact"/>
      </w:pPr>
      <w:r>
        <w:t xml:space="preserve">Product Lifespan: uehddunlzv (Assumed: 3 years)</w:t>
      </w:r>
    </w:p>
    <w:p>
      <w:pPr>
        <w:numPr>
          <w:ilvl w:val="0"/>
          <w:numId w:val="1006"/>
        </w:numPr>
        <w:pStyle w:val="Compact"/>
      </w:pPr>
      <w:r>
        <w:t xml:space="preserve">Energy Consumption in Use: pjsixygrjh (Assumed: 15 kWh/year)</w:t>
      </w:r>
    </w:p>
    <w:p>
      <w:pPr>
        <w:numPr>
          <w:ilvl w:val="0"/>
          <w:numId w:val="1006"/>
        </w:numPr>
        <w:pStyle w:val="Compact"/>
      </w:pPr>
      <w:r>
        <w:t xml:space="preserve">Geographic Scope: Europe Focused</w:t>
      </w:r>
    </w:p>
    <w:p>
      <w:pPr>
        <w:numPr>
          <w:ilvl w:val="0"/>
          <w:numId w:val="1006"/>
        </w:numPr>
        <w:pStyle w:val="Compact"/>
      </w:pPr>
      <w:r>
        <w:t xml:space="preserve">EU Grid Mix Emission Factor: 0.25 kgCO2e/kWh (Illustrative, consistent with EU average 2022 ~0.255 kgCO2/kWh and 2019 ~0.238 kgCO2e/kWh)</w:t>
      </w:r>
    </w:p>
    <w:bookmarkEnd w:id="31"/>
    <w:bookmarkStart w:id="32" w:name="end-of-life-eol-phase-scope-3-downstream"/>
    <w:p>
      <w:pPr>
        <w:pStyle w:val="Heading3"/>
      </w:pPr>
      <w:r>
        <w:t xml:space="preserve">2.5. End-of-Life (EoL) Phase (Scope 3 – Downstream)</w:t>
      </w:r>
    </w:p>
    <w:p>
      <w:pPr>
        <w:numPr>
          <w:ilvl w:val="0"/>
          <w:numId w:val="1007"/>
        </w:numPr>
        <w:pStyle w:val="Compact"/>
      </w:pPr>
      <w:r>
        <w:t xml:space="preserve">Recyclability Percentage: kqwmtqfdti (Assumed: 60%)</w:t>
      </w:r>
    </w:p>
    <w:p>
      <w:pPr>
        <w:numPr>
          <w:ilvl w:val="0"/>
          <w:numId w:val="1007"/>
        </w:numPr>
        <w:pStyle w:val="Compact"/>
      </w:pPr>
      <w:r>
        <w:t xml:space="preserve">Circular/Take-back Programs: hvzfkktfmw (Assumed: Yes, ptninlqngd operates a take-back program for key components)</w:t>
      </w:r>
    </w:p>
    <w:p>
      <w:pPr>
        <w:numPr>
          <w:ilvl w:val="0"/>
          <w:numId w:val="1007"/>
        </w:numPr>
        <w:pStyle w:val="Compact"/>
      </w:pPr>
      <w:r>
        <w:t xml:space="preserve">End-of-Life Scenario: 60% recycled, 40% sent to landfill.</w:t>
      </w:r>
    </w:p>
    <w:p>
      <w:pPr>
        <w:numPr>
          <w:ilvl w:val="0"/>
          <w:numId w:val="1007"/>
        </w:numPr>
        <w:pStyle w:val="Compact"/>
      </w:pPr>
      <w:r>
        <w:t xml:space="preserve">Emission Factors (Illustrative):</w:t>
      </w:r>
    </w:p>
    <w:p>
      <w:pPr>
        <w:numPr>
          <w:ilvl w:val="1"/>
          <w:numId w:val="1008"/>
        </w:numPr>
        <w:pStyle w:val="Compact"/>
      </w:pPr>
      <w:r>
        <w:t xml:space="preserve">Landfill (Mixed Waste): 0.4 kgCO2e/kg</w:t>
      </w:r>
    </w:p>
    <w:p>
      <w:pPr>
        <w:numPr>
          <w:ilvl w:val="1"/>
          <w:numId w:val="1008"/>
        </w:numPr>
        <w:pStyle w:val="Compact"/>
      </w:pPr>
      <w:r>
        <w:t xml:space="preserve">Recycling (Net Credit, avoided virgin production): -1.5 kgCO2e/kg (representative average for mixed materials)</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bookmarkStart w:id="34" w:name="X8e9108aaa93b65f616fee7f367ed856d581dddf"/>
    <w:p>
      <w:pPr>
        <w:pStyle w:val="Heading3"/>
      </w:pPr>
      <w:r>
        <w:t xml:space="preserve">4.1. Material Acquisition &amp; Pre-processing (Scope 3 – Upstream, Category 1)</w:t>
      </w:r>
    </w:p>
    <w:p>
      <w:pPr>
        <w:pStyle w:val="FirstParagraph"/>
      </w:pPr>
      <w:r>
        <w:t xml:space="preserve">Directly calculated from the provided BOM data.</w:t>
      </w:r>
    </w:p>
    <w:p>
      <w:pPr>
        <w:pStyle w:val="BodyText"/>
      </w:pPr>
      <w:r>
        <w:t xml:space="preserve">Total Material Acquisition Emissions: 1.93 kgCO2e</w:t>
      </w:r>
    </w:p>
    <w:bookmarkEnd w:id="34"/>
    <w:bookmarkStart w:id="35" w:name="manufacturing-phase-scope-2"/>
    <w:p>
      <w:pPr>
        <w:pStyle w:val="Heading3"/>
      </w:pPr>
      <w:r>
        <w:t xml:space="preserve">4.2. Manufacturing Phase (Scope 2)</w:t>
      </w:r>
    </w:p>
    <w:p>
      <w:pPr>
        <w:pStyle w:val="FirstParagraph"/>
      </w:pPr>
      <w:r>
        <w:t xml:space="preserve">Manufacturing energy consumption is 0.8 kWh/unit. With 60% renewable energy usage, 40% relies on the grid mix.</w:t>
      </w:r>
    </w:p>
    <w:p>
      <w:pPr>
        <w:numPr>
          <w:ilvl w:val="0"/>
          <w:numId w:val="1009"/>
        </w:numPr>
        <w:pStyle w:val="Compact"/>
      </w:pPr>
      <w:r>
        <w:t xml:space="preserve">Non-renewable energy consumption: 0.8 kWh/unit * 40% = 0.32 kWh/unit</w:t>
      </w:r>
    </w:p>
    <w:p>
      <w:pPr>
        <w:numPr>
          <w:ilvl w:val="0"/>
          <w:numId w:val="1009"/>
        </w:numPr>
        <w:pStyle w:val="Compact"/>
      </w:pPr>
      <w:r>
        <w:t xml:space="preserve">Scope 2 Emissions (Purchased Electricity): 0.32 kWh/unit * 0.6 kgCO2e/kWh (China Grid Mix) =</w:t>
      </w:r>
      <w:r>
        <w:t xml:space="preserve"> </w:t>
      </w:r>
      <w:r>
        <w:rPr>
          <w:bCs/>
          <w:b/>
        </w:rPr>
        <w:t xml:space="preserve">0.192 kgCO2e</w:t>
      </w:r>
    </w:p>
    <w:p>
      <w:pPr>
        <w:pStyle w:val="FirstParagraph"/>
      </w:pPr>
      <w:r>
        <w:t xml:space="preserve">Scope 1 Emissions (Direct): Assumed to be negligible for the product manufacturing process itself without facility-specific fuel combustion data.</w:t>
      </w:r>
    </w:p>
    <w:bookmarkEnd w:id="35"/>
    <w:bookmarkStart w:id="36" w:name="X1d14e650ae3ac7a0dc16f22a75b94df3c93d4eb"/>
    <w:p>
      <w:pPr>
        <w:pStyle w:val="Heading3"/>
      </w:pPr>
      <w:r>
        <w:t xml:space="preserve">4.3. Transport &amp; Distribution (Scope 3 – Upstream &amp; Downstream, Categories 4 &amp; 9)</w:t>
      </w:r>
    </w:p>
    <w:p>
      <w:pPr>
        <w:pStyle w:val="FirstParagraph"/>
      </w:pPr>
      <w:r>
        <w:t xml:space="preserve">Product Weight: 0.51 kg (0.00051 tonnes)</w:t>
      </w:r>
    </w:p>
    <w:p>
      <w:pPr>
        <w:numPr>
          <w:ilvl w:val="0"/>
          <w:numId w:val="1010"/>
        </w:numPr>
        <w:pStyle w:val="Compact"/>
      </w:pPr>
      <w:r>
        <w:rPr>
          <w:bCs/>
          <w:b/>
        </w:rPr>
        <w:t xml:space="preserve">Upstream Transport (Materials to China factory):</w:t>
      </w:r>
    </w:p>
    <w:p>
      <w:pPr>
        <w:numPr>
          <w:ilvl w:val="1"/>
          <w:numId w:val="1011"/>
        </w:numPr>
        <w:pStyle w:val="Compact"/>
      </w:pPr>
      <w:r>
        <w:t xml:space="preserve">Distance: 2000 km (road)</w:t>
      </w:r>
    </w:p>
    <w:p>
      <w:pPr>
        <w:numPr>
          <w:ilvl w:val="1"/>
          <w:numId w:val="1011"/>
        </w:numPr>
        <w:pStyle w:val="Compact"/>
      </w:pPr>
      <w:r>
        <w:t xml:space="preserve">Emissions: 0.00051 tonnes * 2000 km * 0.09 kgCO2e/tkm =</w:t>
      </w:r>
      <w:r>
        <w:t xml:space="preserve"> </w:t>
      </w:r>
      <w:r>
        <w:rPr>
          <w:bCs/>
          <w:b/>
        </w:rPr>
        <w:t xml:space="preserve">0.0918 kgCO2e</w:t>
      </w:r>
    </w:p>
    <w:p>
      <w:pPr>
        <w:numPr>
          <w:ilvl w:val="0"/>
          <w:numId w:val="1010"/>
        </w:numPr>
        <w:pStyle w:val="Compact"/>
      </w:pPr>
      <w:r>
        <w:rPr>
          <w:bCs/>
          <w:b/>
        </w:rPr>
        <w:t xml:space="preserve">Downstream Transport (Finished Product from China to Europe):</w:t>
      </w:r>
    </w:p>
    <w:p>
      <w:pPr>
        <w:numPr>
          <w:ilvl w:val="1"/>
          <w:numId w:val="1012"/>
        </w:numPr>
        <w:pStyle w:val="Compact"/>
      </w:pPr>
      <w:r>
        <w:t xml:space="preserve">Distance: 10,000 km (sea freight)</w:t>
      </w:r>
    </w:p>
    <w:p>
      <w:pPr>
        <w:numPr>
          <w:ilvl w:val="1"/>
          <w:numId w:val="1012"/>
        </w:numPr>
        <w:pStyle w:val="Compact"/>
      </w:pPr>
      <w:r>
        <w:t xml:space="preserve">Emissions: 0.00051 tonnes * 10,000 km * 0.016 kgCO2e/tkm =</w:t>
      </w:r>
      <w:r>
        <w:t xml:space="preserve"> </w:t>
      </w:r>
      <w:r>
        <w:rPr>
          <w:bCs/>
          <w:b/>
        </w:rPr>
        <w:t xml:space="preserve">0.0816 kgCO2e</w:t>
      </w:r>
    </w:p>
    <w:p>
      <w:pPr>
        <w:numPr>
          <w:ilvl w:val="0"/>
          <w:numId w:val="1010"/>
        </w:numPr>
        <w:pStyle w:val="Compact"/>
      </w:pPr>
      <w:r>
        <w:rPr>
          <w:bCs/>
          <w:b/>
        </w:rPr>
        <w:t xml:space="preserve">Last-Mile Delivery:</w:t>
      </w:r>
    </w:p>
    <w:p>
      <w:pPr>
        <w:numPr>
          <w:ilvl w:val="1"/>
          <w:numId w:val="1013"/>
        </w:numPr>
        <w:pStyle w:val="Compact"/>
      </w:pPr>
      <w:r>
        <w:t xml:space="preserve">Emissions:</w:t>
      </w:r>
      <w:r>
        <w:t xml:space="preserve"> </w:t>
      </w:r>
      <w:r>
        <w:rPr>
          <w:bCs/>
          <w:b/>
        </w:rPr>
        <w:t xml:space="preserve">0.2 kgCO2e</w:t>
      </w:r>
      <w:r>
        <w:t xml:space="preserve"> </w:t>
      </w:r>
      <w:r>
        <w:t xml:space="preserve">(per package delivery)</w:t>
      </w:r>
    </w:p>
    <w:p>
      <w:pPr>
        <w:numPr>
          <w:ilvl w:val="0"/>
          <w:numId w:val="1010"/>
        </w:numPr>
        <w:pStyle w:val="Compact"/>
      </w:pPr>
      <w:r>
        <w:t xml:space="preserve">Total Transport Emissions: 0.0918 (upstream) + 0.0816 (downstream) + 0.2 (last-mile) =</w:t>
      </w:r>
      <w:r>
        <w:t xml:space="preserve"> </w:t>
      </w:r>
      <w:r>
        <w:rPr>
          <w:bCs/>
          <w:b/>
        </w:rPr>
        <w:t xml:space="preserve">0.3734 kgCO2e</w:t>
      </w:r>
    </w:p>
    <w:bookmarkEnd w:id="36"/>
    <w:bookmarkStart w:id="37" w:name="use-phase-scope-3-downstream-category-11"/>
    <w:p>
      <w:pPr>
        <w:pStyle w:val="Heading3"/>
      </w:pPr>
      <w:r>
        <w:t xml:space="preserve">4.4. Use Phase (Scope 3 – Downstream, Category 11)</w:t>
      </w:r>
    </w:p>
    <w:p>
      <w:pPr>
        <w:numPr>
          <w:ilvl w:val="0"/>
          <w:numId w:val="1014"/>
        </w:numPr>
        <w:pStyle w:val="Compact"/>
      </w:pPr>
      <w:r>
        <w:t xml:space="preserve">Product Lifespan: 3 years</w:t>
      </w:r>
    </w:p>
    <w:p>
      <w:pPr>
        <w:numPr>
          <w:ilvl w:val="0"/>
          <w:numId w:val="1014"/>
        </w:numPr>
        <w:pStyle w:val="Compact"/>
      </w:pPr>
      <w:r>
        <w:t xml:space="preserve">Annual Energy Consumption: 15 kWh/year</w:t>
      </w:r>
    </w:p>
    <w:p>
      <w:pPr>
        <w:numPr>
          <w:ilvl w:val="0"/>
          <w:numId w:val="1014"/>
        </w:numPr>
        <w:pStyle w:val="Compact"/>
      </w:pPr>
      <w:r>
        <w:t xml:space="preserve">Total Energy Consumption: 15 kWh/year * 3 years = 45 kWh</w:t>
      </w:r>
    </w:p>
    <w:p>
      <w:pPr>
        <w:numPr>
          <w:ilvl w:val="0"/>
          <w:numId w:val="1014"/>
        </w:numPr>
        <w:pStyle w:val="Compact"/>
      </w:pPr>
      <w:r>
        <w:t xml:space="preserve">Use Phase Emissions: 45 kWh * 0.25 kgCO2e/kWh (EU Grid Mix) =</w:t>
      </w:r>
      <w:r>
        <w:t xml:space="preserve"> </w:t>
      </w:r>
      <w:r>
        <w:rPr>
          <w:bCs/>
          <w:b/>
        </w:rPr>
        <w:t xml:space="preserve">11.25 kgCO2e</w:t>
      </w:r>
    </w:p>
    <w:bookmarkEnd w:id="37"/>
    <w:bookmarkStart w:id="38" w:name="X744d31a81612a8114d7b26f31a6d45de84fd9d2"/>
    <w:p>
      <w:pPr>
        <w:pStyle w:val="Heading3"/>
      </w:pPr>
      <w:r>
        <w:t xml:space="preserve">4.5. End-of-Life (EoL) Phase (Scope 3 – Downstream, Category 12)</w:t>
      </w:r>
    </w:p>
    <w:p>
      <w:pPr>
        <w:pStyle w:val="FirstParagraph"/>
      </w:pPr>
      <w:r>
        <w:t xml:space="preserve">Product Weight: 0.51 kg</w:t>
      </w:r>
    </w:p>
    <w:p>
      <w:pPr>
        <w:numPr>
          <w:ilvl w:val="0"/>
          <w:numId w:val="1015"/>
        </w:numPr>
        <w:pStyle w:val="Compact"/>
      </w:pPr>
      <w:r>
        <w:rPr>
          <w:bCs/>
          <w:b/>
        </w:rPr>
        <w:t xml:space="preserve">Landfilled Portion (40%):</w:t>
      </w:r>
    </w:p>
    <w:p>
      <w:pPr>
        <w:numPr>
          <w:ilvl w:val="1"/>
          <w:numId w:val="1016"/>
        </w:numPr>
        <w:pStyle w:val="Compact"/>
      </w:pPr>
      <w:r>
        <w:t xml:space="preserve">Weight: 0.51 kg * 40% = 0.204 kg</w:t>
      </w:r>
    </w:p>
    <w:p>
      <w:pPr>
        <w:numPr>
          <w:ilvl w:val="1"/>
          <w:numId w:val="1016"/>
        </w:numPr>
        <w:pStyle w:val="Compact"/>
      </w:pPr>
      <w:r>
        <w:t xml:space="preserve">Emissions: 0.204 kg * 0.4 kgCO2e/kg (Landfill EF) =</w:t>
      </w:r>
      <w:r>
        <w:t xml:space="preserve"> </w:t>
      </w:r>
      <w:r>
        <w:rPr>
          <w:bCs/>
          <w:b/>
        </w:rPr>
        <w:t xml:space="preserve">0.0816 kgCO2e</w:t>
      </w:r>
    </w:p>
    <w:p>
      <w:pPr>
        <w:numPr>
          <w:ilvl w:val="0"/>
          <w:numId w:val="1015"/>
        </w:numPr>
        <w:pStyle w:val="Compact"/>
      </w:pPr>
      <w:r>
        <w:rPr>
          <w:bCs/>
          <w:b/>
        </w:rPr>
        <w:t xml:space="preserve">Recycled Portion (60%):</w:t>
      </w:r>
    </w:p>
    <w:p>
      <w:pPr>
        <w:numPr>
          <w:ilvl w:val="1"/>
          <w:numId w:val="1017"/>
        </w:numPr>
        <w:pStyle w:val="Compact"/>
      </w:pPr>
      <w:r>
        <w:t xml:space="preserve">Weight: 0.51 kg * 60% = 0.306 kg</w:t>
      </w:r>
    </w:p>
    <w:p>
      <w:pPr>
        <w:numPr>
          <w:ilvl w:val="1"/>
          <w:numId w:val="1017"/>
        </w:numPr>
        <w:pStyle w:val="Compact"/>
      </w:pPr>
      <w:r>
        <w:t xml:space="preserve">Credits from Recycling: 0.306 kg * -1.5 kgCO2e/kg (Recycling Credit) =</w:t>
      </w:r>
      <w:r>
        <w:t xml:space="preserve"> </w:t>
      </w:r>
      <w:r>
        <w:rPr>
          <w:bCs/>
          <w:b/>
        </w:rPr>
        <w:t xml:space="preserve">-0.459 kgCO2e</w:t>
      </w:r>
    </w:p>
    <w:p>
      <w:pPr>
        <w:numPr>
          <w:ilvl w:val="0"/>
          <w:numId w:val="1015"/>
        </w:numPr>
        <w:pStyle w:val="Compact"/>
      </w:pPr>
      <w:r>
        <w:t xml:space="preserve">Net EoL Emissions: 0.0816 kgCO2e - 0.459 kgCO2e =</w:t>
      </w:r>
      <w:r>
        <w:t xml:space="preserve"> </w:t>
      </w:r>
      <w:r>
        <w:rPr>
          <w:bCs/>
          <w:b/>
        </w:rPr>
        <w:t xml:space="preserve">-0.3774 kgCO2e</w:t>
      </w:r>
      <w:r>
        <w:t xml:space="preserve"> </w:t>
      </w:r>
      <w:r>
        <w:t xml:space="preserve">(a net credit)</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 Category 1)</w:t>
            </w:r>
          </w:p>
        </w:tc>
        <w:tc>
          <w:tcPr/>
          <w:p>
            <w:pPr>
              <w:pStyle w:val="Compact"/>
              <w:jc w:val="left"/>
            </w:pPr>
            <w:r>
              <w:t xml:space="preserve">1.930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 (Upstream Materials)**</w:t>
            </w:r>
          </w:p>
        </w:tc>
        <w:tc>
          <w:tcPr/>
          <w:p>
            <w:pPr>
              <w:pStyle w:val="Compact"/>
              <w:jc w:val="left"/>
            </w:pPr>
            <w:r>
              <w:t xml:space="preserve">Scope 3 (Upstream, Category 4)</w:t>
            </w:r>
          </w:p>
        </w:tc>
        <w:tc>
          <w:tcPr/>
          <w:p>
            <w:pPr>
              <w:pStyle w:val="Compact"/>
              <w:jc w:val="left"/>
            </w:pPr>
            <w:r>
              <w:t xml:space="preserve">0.092</w:t>
            </w:r>
          </w:p>
        </w:tc>
      </w:tr>
      <w:tr>
        <w:tc>
          <w:tcPr/>
          <w:p>
            <w:pPr>
              <w:pStyle w:val="Compact"/>
              <w:jc w:val="left"/>
            </w:pPr>
            <w:r>
              <w:t xml:space="preserve">**Transport (Downstream Product)**</w:t>
            </w:r>
          </w:p>
        </w:tc>
        <w:tc>
          <w:tcPr/>
          <w:p>
            <w:pPr>
              <w:pStyle w:val="Compact"/>
              <w:jc w:val="left"/>
            </w:pPr>
            <w:r>
              <w:t xml:space="preserve">Scope 3 (Downstream, Category 9)</w:t>
            </w:r>
          </w:p>
        </w:tc>
        <w:tc>
          <w:tcPr/>
          <w:p>
            <w:pPr>
              <w:pStyle w:val="Compact"/>
              <w:jc w:val="left"/>
            </w:pPr>
            <w:r>
              <w:t xml:space="preserve">0.282</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11.250</w:t>
            </w:r>
          </w:p>
        </w:tc>
      </w:tr>
      <w:tr>
        <w:tc>
          <w:tcPr/>
          <w:p>
            <w:pPr>
              <w:pStyle w:val="Compact"/>
              <w:jc w:val="left"/>
            </w:pPr>
            <w:r>
              <w:t xml:space="preserve">**End-of-Life**</w:t>
            </w:r>
          </w:p>
        </w:tc>
        <w:tc>
          <w:tcPr/>
          <w:p>
            <w:pPr>
              <w:pStyle w:val="Compact"/>
              <w:jc w:val="left"/>
            </w:pPr>
            <w:r>
              <w:t xml:space="preserve">Scope 3 (Downstream, Category 12)</w:t>
            </w:r>
          </w:p>
        </w:tc>
        <w:tc>
          <w:tcPr/>
          <w:p>
            <w:pPr>
              <w:pStyle w:val="Compact"/>
              <w:jc w:val="left"/>
            </w:pPr>
            <w:r>
              <w:t xml:space="preserve">-0.377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13.368 kgCO2e</w:t>
            </w:r>
          </w:p>
        </w:tc>
      </w:tr>
    </w:tbl>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emission-hotspots"/>
    <w:p>
      <w:pPr>
        <w:pStyle w:val="Heading3"/>
      </w:pPr>
      <w:r>
        <w:t xml:space="preserve">5.1. Emission Hotspots</w:t>
      </w:r>
    </w:p>
    <w:p>
      <w:pPr>
        <w:pStyle w:val="FirstParagraph"/>
      </w:pPr>
      <w:r>
        <w:t xml:space="preserve">The analysis reveals the following key emission hotspots for pvlxmmqefy:</w:t>
      </w:r>
    </w:p>
    <w:p>
      <w:pPr>
        <w:numPr>
          <w:ilvl w:val="0"/>
          <w:numId w:val="1018"/>
        </w:numPr>
        <w:pStyle w:val="Compact"/>
      </w:pPr>
      <w:r>
        <w:rPr>
          <w:bCs/>
          <w:b/>
        </w:rPr>
        <w:t xml:space="preserve">Use Phase (84.1%):</w:t>
      </w:r>
      <w:r>
        <w:t xml:space="preserve"> </w:t>
      </w:r>
      <w:r>
        <w:t xml:space="preserve">The vast majority of the product\'s carbon footprint stems from its energy consumption during the use phase. This highlights a critical area for intervention through improved energy efficiency of the product itself or by encouraging users to source renewable energy.</w:t>
      </w:r>
    </w:p>
    <w:p>
      <w:pPr>
        <w:numPr>
          <w:ilvl w:val="0"/>
          <w:numId w:val="1018"/>
        </w:numPr>
        <w:pStyle w:val="Compact"/>
      </w:pPr>
      <w:r>
        <w:rPr>
          <w:bCs/>
          <w:b/>
        </w:rPr>
        <w:t xml:space="preserve">Material Acquisition (14.4%):</w:t>
      </w:r>
      <w:r>
        <w:t xml:space="preserve"> </w:t>
      </w:r>
      <w:r>
        <w:t xml:space="preserve">The production of raw materials, particularly electronic components and steel, contributes significantly to the upstream Scope 3 emissions. This indicates a need for exploring lower-carbon material alternatives, increased recycled content, or working with suppliers to reduce their production emissions.</w:t>
      </w:r>
    </w:p>
    <w:p>
      <w:pPr>
        <w:numPr>
          <w:ilvl w:val="0"/>
          <w:numId w:val="1018"/>
        </w:numPr>
        <w:pStyle w:val="Compact"/>
      </w:pPr>
      <w:r>
        <w:rPr>
          <w:bCs/>
          <w:b/>
        </w:rPr>
        <w:t xml:space="preserve">Transport &amp; Distribution (2.8%):</w:t>
      </w:r>
      <w:r>
        <w:t xml:space="preserve"> </w:t>
      </w:r>
      <w:r>
        <w:t xml:space="preserve">While smaller than the use phase, both upstream and downstream transport contribute, suggesting optimizations in logistics (e.g., mode shifts to lower-emission options, route optimization).</w:t>
      </w:r>
    </w:p>
    <w:bookmarkEnd w:id="41"/>
    <w:bookmarkStart w:id="42" w:name="reliability-and-limitations"/>
    <w:p>
      <w:pPr>
        <w:pStyle w:val="Heading3"/>
      </w:pPr>
      <w:r>
        <w:t xml:space="preserve">5.2. Reliability and Limitations</w:t>
      </w:r>
    </w:p>
    <w:p>
      <w:pPr>
        <w:pStyle w:val="FirstParagraph"/>
      </w:pPr>
      <w:r>
        <w:t xml:space="preserve">This PCF analysis provides a detailed estimate based on the provided parameters and a combination of primary (BOM-specified) and secondary (illustrative industry-average) data.</w:t>
      </w:r>
    </w:p>
    <w:p>
      <w:pPr>
        <w:numPr>
          <w:ilvl w:val="0"/>
          <w:numId w:val="1019"/>
        </w:numPr>
        <w:pStyle w:val="Compact"/>
      </w:pPr>
      <w:r>
        <w:rPr>
          <w:bCs/>
          <w:b/>
        </w:rPr>
        <w:t xml:space="preserve">Data Assumptions:</w:t>
      </w:r>
      <w:r>
        <w:t xml:space="preserve"> </w:t>
      </w:r>
      <w:r>
        <w:t xml:space="preserve">Several parameters were provided as placeholders (e.g., transport mode, distance, energy usage percentages). Illustrative values, informed by recent industry data where available, were assumed for these parameters. Actual emissions could vary if precise, company-specific data were used.</w:t>
      </w:r>
    </w:p>
    <w:p>
      <w:pPr>
        <w:numPr>
          <w:ilvl w:val="0"/>
          <w:numId w:val="1019"/>
        </w:numPr>
        <w:pStyle w:val="Compact"/>
      </w:pPr>
      <w:r>
        <w:rPr>
          <w:bCs/>
          <w:b/>
        </w:rPr>
        <w:t xml:space="preserve">Emission Factor Sources:</w:t>
      </w:r>
      <w:r>
        <w:t xml:space="preserve"> </w:t>
      </w:r>
      <w:r>
        <w:t xml:space="preserve">While aiming for consistency with Ecoinvent/DEFRA principles, generic emission factors were used for energy grids, transport, and end-of-life processes. Higher accuracy could be achieved with direct supplier-specific emission factors or access to detailed regional grid data.</w:t>
      </w:r>
    </w:p>
    <w:p>
      <w:pPr>
        <w:numPr>
          <w:ilvl w:val="0"/>
          <w:numId w:val="1019"/>
        </w:numPr>
        <w:pStyle w:val="Compact"/>
      </w:pPr>
      <w:r>
        <w:rPr>
          <w:bCs/>
          <w:b/>
        </w:rPr>
        <w:t xml:space="preserve">System Boundary Interpretation:</w:t>
      </w:r>
      <w:r>
        <w:t xml:space="preserve"> </w:t>
      </w:r>
      <w:r>
        <w:t xml:space="preserve">The interpretation of "factory_gate" alongside full lifecycle parameters led to a comprehensive cradle-to-grave analysis. This ensures a holistic view but necessitates assumptions for phases beyond direct manufacturing.</w:t>
      </w:r>
    </w:p>
    <w:p>
      <w:pPr>
        <w:numPr>
          <w:ilvl w:val="0"/>
          <w:numId w:val="1019"/>
        </w:numPr>
        <w:pStyle w:val="Compact"/>
      </w:pPr>
      <w:r>
        <w:rPr>
          <w:bCs/>
          <w:b/>
        </w:rPr>
        <w:t xml:space="preserve">LSR Standard Application:</w:t>
      </w:r>
      <w:r>
        <w:t xml:space="preserve"> </w:t>
      </w:r>
      <w:r>
        <w:t xml:space="preserve">The application of the 2026 LSR Standard is acknowledged, but given the product type and limited specific land-use data, its quantitative impact is not explicitly calculated in this report.</w:t>
      </w:r>
    </w:p>
    <w:bookmarkEnd w:id="42"/>
    <w:bookmarkStart w:id="43" w:name="recommendations-for-ptninlqngd"/>
    <w:p>
      <w:pPr>
        <w:pStyle w:val="Heading3"/>
      </w:pPr>
      <w:r>
        <w:t xml:space="preserve">5.3. Recommendations for ptninlqngd</w:t>
      </w:r>
    </w:p>
    <w:p>
      <w:pPr>
        <w:numPr>
          <w:ilvl w:val="0"/>
          <w:numId w:val="1020"/>
        </w:numPr>
        <w:pStyle w:val="Compact"/>
      </w:pPr>
      <w:r>
        <w:rPr>
          <w:bCs/>
          <w:b/>
        </w:rPr>
        <w:t xml:space="preserve">Prioritize Use Phase Efficiency:</w:t>
      </w:r>
      <w:r>
        <w:t xml:space="preserve"> </w:t>
      </w:r>
      <w:r>
        <w:t xml:space="preserve">Focus on redesigning pvlxmmqefy to drastically reduce its energy consumption during operation. This could involve using more energy-efficient components, optimizing software/firmware, or offering low-power modes.</w:t>
      </w:r>
    </w:p>
    <w:p>
      <w:pPr>
        <w:numPr>
          <w:ilvl w:val="0"/>
          <w:numId w:val="1020"/>
        </w:numPr>
        <w:pStyle w:val="Compact"/>
      </w:pPr>
      <w:r>
        <w:rPr>
          <w:bCs/>
          <w:b/>
        </w:rPr>
        <w:t xml:space="preserve">Engage Supply Chain for Materials:</w:t>
      </w:r>
      <w:r>
        <w:t xml:space="preserve"> </w:t>
      </w:r>
      <w:r>
        <w:t xml:space="preserve">Work with material suppliers to obtain primary data on their production emissions and explore options for sourcing lower-carbon materials or materials with higher recycled content.</w:t>
      </w:r>
    </w:p>
    <w:p>
      <w:pPr>
        <w:numPr>
          <w:ilvl w:val="0"/>
          <w:numId w:val="1020"/>
        </w:numPr>
        <w:pStyle w:val="Compact"/>
      </w:pPr>
      <w:r>
        <w:rPr>
          <w:bCs/>
          <w:b/>
        </w:rPr>
        <w:t xml:space="preserve">Optimize Logistics:</w:t>
      </w:r>
      <w:r>
        <w:t xml:space="preserve"> </w:t>
      </w:r>
      <w:r>
        <w:t xml:space="preserve">Investigate opportunities for multimodal transport (e.g., shifting from road to rail or sea where feasible for upstream and downstream logistics) and optimize route planning to reduce transport distances and emissions.</w:t>
      </w:r>
    </w:p>
    <w:p>
      <w:pPr>
        <w:numPr>
          <w:ilvl w:val="0"/>
          <w:numId w:val="1020"/>
        </w:numPr>
        <w:pStyle w:val="Compact"/>
      </w:pPr>
      <w:r>
        <w:rPr>
          <w:bCs/>
          <w:b/>
        </w:rPr>
        <w:t xml:space="preserve">Enhance Circularity:</w:t>
      </w:r>
      <w:r>
        <w:t xml:space="preserve"> </w:t>
      </w:r>
      <w:r>
        <w:t xml:space="preserve">Leverage the existing take-back program (hvzfkktfmw) to maximize the recycling and reuse of product components, aiming for higher than 60% recyclability and exploring remanufacturing opportunities.</w:t>
      </w:r>
    </w:p>
    <w:p>
      <w:pPr>
        <w:numPr>
          <w:ilvl w:val="0"/>
          <w:numId w:val="1020"/>
        </w:numPr>
        <w:pStyle w:val="Compact"/>
      </w:pPr>
      <w:r>
        <w:rPr>
          <w:bCs/>
          <w:b/>
        </w:rPr>
        <w:t xml:space="preserve">Data Improvement:</w:t>
      </w:r>
      <w:r>
        <w:t xml:space="preserve"> </w:t>
      </w:r>
      <w:r>
        <w:t xml:space="preserve">Continuously seek to replace illustrative and secondary data with primary, supplier-specific data for all lifecycle stages to improve the accuracy and robustness of future PCF analyses.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pvlxmmqefy</dc:title>
  <dc:creator/>
  <dc:description>Detailed Product Carbon Footprint (PCF) analysis report for pvlxmmqefy by ptninlqngd, adhering to GHG Protocol standards and 2026 requirements.</dc:description>
  <dc:language>en</dc:language>
  <cp:keywords/>
  <dcterms:created xsi:type="dcterms:W3CDTF">2026-05-30T16:48:39Z</dcterms:created>
  <dcterms:modified xsi:type="dcterms:W3CDTF">2026-05-30T16:48:39Z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