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pttokyxjyx</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pttokyxjyx</w:t>
      </w:r>
    </w:p>
    <w:p>
      <w:pPr>
        <w:pStyle w:val="BodyText"/>
      </w:pPr>
      <w:r>
        <w:rPr>
          <w:bCs/>
          <w:b/>
        </w:rPr>
        <w:t xml:space="preserve">Company Name:</w:t>
      </w:r>
      <w:r>
        <w:t xml:space="preserve"> </w:t>
      </w:r>
      <w:r>
        <w:t xml:space="preserve">udknwomjqj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femkwxrdwf</w:t>
      </w:r>
    </w:p>
    <w:p>
      <w:pPr>
        <w:pStyle w:val="BodyText"/>
      </w:pPr>
      <w:r>
        <w:rPr>
          <w:iCs/>
          <w:i/>
        </w:rPr>
        <w:t xml:space="preserve">This report is generated based on available data and industry standards. While efforts have been made to ensure accuracy, the actual environmental impact may vary depending on real-world conditions and data availability.</w:t>
      </w:r>
    </w:p>
    <w:bookmarkEnd w:id="20"/>
    <w:bookmarkStart w:id="21" w:name="product-carbon-footprint-analysis"/>
    <w:p>
      <w:pPr>
        <w:pStyle w:val="Heading1"/>
      </w:pPr>
      <w:r>
        <w:t xml:space="preserve">Product Carbon Footprint Analysis</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pttokyxjyx</w:t>
      </w:r>
      <w:r>
        <w:t xml:space="preserve">, manufactured by</w:t>
      </w:r>
      <w:r>
        <w:t xml:space="preserve"> </w:t>
      </w:r>
      <w:r>
        <w:rPr>
          <w:bCs/>
          <w:b/>
        </w:rPr>
        <w:t xml:space="preserve">udknwomjqj</w:t>
      </w:r>
      <w:r>
        <w:t xml:space="preserve">. The analysis was conducted by Senior Sustainability Consultant</w:t>
      </w:r>
      <w:r>
        <w:t xml:space="preserve"> </w:t>
      </w:r>
      <w:r>
        <w:rPr>
          <w:bCs/>
          <w:b/>
        </w:rPr>
        <w:t xml:space="preserve">femkwxrdwf</w:t>
      </w:r>
      <w:r>
        <w:t xml:space="preserve">, adhering strictly to the GHG Protocol. The primary objective is to quantify the greenhouse gas (GHG) emissions associated with the entire lifecycle of one functional unit of pttokyxjyx, from raw material acquisition to end-of-life. Special attention has been paid to the 2026 Land Sector and Removals (LSR) Standard update and ensuring comprehensive Scope 3 coverage. The findings highlight key emission hotspots across the product\'s lifecycle, providing actionable insights for emissions reduction strategies.</w:t>
      </w:r>
    </w:p>
    <w:p>
      <w:r>
        <w:pict>
          <v:rect style="width:0;height:1.5pt" o:hralign="center" o:hrstd="t" o:hr="t"/>
        </w:pict>
      </w:r>
    </w:p>
    <w:bookmarkEnd w:id="22"/>
    <w:bookmarkStart w:id="30" w:name="methodology-and-scope-definition"/>
    <w:p>
      <w:pPr>
        <w:pStyle w:val="Heading2"/>
      </w:pPr>
      <w:r>
        <w:t xml:space="preserve">1. Methodology and Scope Definition</w:t>
      </w:r>
    </w:p>
    <w:p>
      <w:pPr>
        <w:pStyle w:val="FirstParagraph"/>
      </w:pPr>
      <w:r>
        <w:t xml:space="preserve">This PCF analysis follows a cradle-to-gate approach with additional consideration for the use phase and end-of-life, consistent with the GHG Protocol Product Standard. The assessment is structured around five key steps:</w:t>
      </w:r>
    </w:p>
    <w:bookmarkStart w:id="23" w:name="step-1-define-scope"/>
    <w:p>
      <w:pPr>
        <w:pStyle w:val="Heading3"/>
      </w:pPr>
      <w:r>
        <w:t xml:space="preserve">1.1. Step 1: Define Scope</w:t>
      </w:r>
    </w:p>
    <w:p>
      <w:pPr>
        <w:numPr>
          <w:ilvl w:val="0"/>
          <w:numId w:val="1001"/>
        </w:numPr>
        <w:pStyle w:val="Compact"/>
      </w:pPr>
      <w:r>
        <w:rPr>
          <w:bCs/>
          <w:b/>
        </w:rPr>
        <w:t xml:space="preserve">Functional Unit:</w:t>
      </w:r>
      <w:r>
        <w:t xml:space="preserve"> </w:t>
      </w:r>
      <w:r>
        <w:t xml:space="preserve">1.0 unit of pttokyxjyx.</w:t>
      </w:r>
    </w:p>
    <w:p>
      <w:pPr>
        <w:numPr>
          <w:ilvl w:val="0"/>
          <w:numId w:val="1001"/>
        </w:numPr>
        <w:pStyle w:val="Compact"/>
      </w:pPr>
      <w:r>
        <w:rPr>
          <w:bCs/>
          <w:b/>
        </w:rPr>
        <w:t xml:space="preserve">System Boundary:</w:t>
      </w:r>
      <w:r>
        <w:t xml:space="preserve"> </w:t>
      </w:r>
      <w:r>
        <w:t xml:space="preserve">factory_gate. This includes raw material acquisition, manufacturing, and primary packaging. Downstream emissions (transport to customer, use phase, and end-of-life) are also quantified as per the request, expanding beyond a strict factory-gate definition to provide a more holistic view in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material sourcing and initial processing primarily in Europe, with final assembly in China.</w:t>
      </w:r>
    </w:p>
    <w:p>
      <w:pPr>
        <w:numPr>
          <w:ilvl w:val="0"/>
          <w:numId w:val="1001"/>
        </w:numPr>
        <w:pStyle w:val="Compact"/>
      </w:pPr>
      <w:r>
        <w:rPr>
          <w:bCs/>
          <w:b/>
        </w:rPr>
        <w:t xml:space="preserve">Allocation:</w:t>
      </w:r>
      <w:r>
        <w:t xml:space="preserve"> </w:t>
      </w:r>
      <w:r>
        <w:t xml:space="preserve">All emissions are allocated entirely to the functional unit, assuming no co-products. Recycled content benefits and end-of-life scenarios are accounted for using mass-based allocation and avoided burden approaches where applicable.</w:t>
      </w:r>
    </w:p>
    <w:p>
      <w:pPr>
        <w:numPr>
          <w:ilvl w:val="0"/>
          <w:numId w:val="1001"/>
        </w:numPr>
        <w:pStyle w:val="Compact"/>
      </w:pPr>
      <w:r>
        <w:rPr>
          <w:bCs/>
          <w:b/>
        </w:rPr>
        <w:t xml:space="preserve">Accounting Standard:</w:t>
      </w:r>
      <w:r>
        <w:t xml:space="preserve"> </w:t>
      </w:r>
      <w:r>
        <w:t xml:space="preserve">The Greenhouse Gas Protocol Product Life Cycle Accounting and Reporting Standard (GHG Protocol).</w:t>
      </w:r>
    </w:p>
    <w:bookmarkEnd w:id="23"/>
    <w:bookmarkStart w:id="29" w:name="step-2-3-map-lifecycle-collect-data"/>
    <w:p>
      <w:pPr>
        <w:pStyle w:val="Heading3"/>
      </w:pPr>
      <w:r>
        <w:t xml:space="preserve">1.2. Step 2 &amp; 3: Map Lifecycle &amp; Collect Data</w:t>
      </w:r>
    </w:p>
    <w:p>
      <w:pPr>
        <w:pStyle w:val="FirstParagraph"/>
      </w:pPr>
      <w:r>
        <w:t xml:space="preserve">The lifecycle of pttokyxjyx is mapped across key stages: material acquisition, manufacturing, transportation (inbound/outbound), product use, and end-of-life. Data collection prioritized primary data where available, supplemented by secondary data from recognized databases (e.g., Ecoinvent, DEFRA equivalents for emission factors).</w:t>
      </w:r>
    </w:p>
    <w:bookmarkStart w:id="24" w:name="X4503798550b822a35d94084654cd35d05af37a9"/>
    <w:p>
      <w:pPr>
        <w:pStyle w:val="Heading4"/>
      </w:pPr>
      <w:r>
        <w:t xml:space="preserve">Detailed Bill of Materials (BOM) - Data from rxntxonx</w:t>
      </w:r>
    </w:p>
    <w:p>
      <w:pPr>
        <w:pStyle w:val="FirstParagraph"/>
      </w:pPr>
      <w:r>
        <w:t xml:space="preserve">The following detailed Bill of Materials (BOM) was used for calculating the material acquisition phase emissions. The "Total Carbon" column represents the embedded carbon (CO2e) for the specified quantity of each material, incorporating raw material extraction and initial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if applicable)</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MAT004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p>
      <w:pPr>
        <w:pStyle w:val="BodyText"/>
      </w:pPr>
      <w:r>
        <w:rPr>
          <w:bCs/>
          <w:b/>
        </w:rPr>
        <w:t xml:space="preserve">Total Material Mass:</w:t>
      </w:r>
      <w:r>
        <w:t xml:space="preserve"> </w:t>
      </w:r>
      <w:r>
        <w:t xml:space="preserve">1.15 kg</w:t>
      </w:r>
    </w:p>
    <w:bookmarkEnd w:id="24"/>
    <w:bookmarkStart w:id="25" w:name="energy-inputs-production-phase"/>
    <w:p>
      <w:pPr>
        <w:pStyle w:val="Heading4"/>
      </w:pPr>
      <w:r>
        <w:t xml:space="preserve">Energy Inputs (Production Phase)</w:t>
      </w:r>
    </w:p>
    <w:p>
      <w:pPr>
        <w:numPr>
          <w:ilvl w:val="0"/>
          <w:numId w:val="1002"/>
        </w:numPr>
        <w:pStyle w:val="Compact"/>
      </w:pPr>
      <w:r>
        <w:rPr>
          <w:bCs/>
          <w:b/>
        </w:rPr>
        <w:t xml:space="preserve">Energy Intensity (kWh/unit):</w:t>
      </w:r>
      <w:r>
        <w:t xml:space="preserve"> </w:t>
      </w:r>
      <w:r>
        <w:t xml:space="preserve">itrqfyjome (Assumed: 10 kWh/unit)</w:t>
      </w:r>
    </w:p>
    <w:p>
      <w:pPr>
        <w:numPr>
          <w:ilvl w:val="0"/>
          <w:numId w:val="1002"/>
        </w:numPr>
        <w:pStyle w:val="Compact"/>
      </w:pPr>
      <w:r>
        <w:rPr>
          <w:bCs/>
          <w:b/>
        </w:rPr>
        <w:t xml:space="preserve">Renewable Energy Usage:</w:t>
      </w:r>
      <w:r>
        <w:t xml:space="preserve"> </w:t>
      </w:r>
      <w:r>
        <w:t xml:space="preserve">oqnuvxlfzj (Assumed: 60%)</w:t>
      </w:r>
    </w:p>
    <w:p>
      <w:pPr>
        <w:numPr>
          <w:ilvl w:val="0"/>
          <w:numId w:val="1002"/>
        </w:numPr>
        <w:pStyle w:val="Compact"/>
      </w:pPr>
      <w:r>
        <w:rPr>
          <w:bCs/>
          <w:b/>
        </w:rPr>
        <w:t xml:space="preserve">Non-renewable Electricity Share:</w:t>
      </w:r>
      <w:r>
        <w:t xml:space="preserve"> </w:t>
      </w:r>
      <w:r>
        <w:t xml:space="preserve">40%</w:t>
      </w:r>
    </w:p>
    <w:p>
      <w:pPr>
        <w:numPr>
          <w:ilvl w:val="0"/>
          <w:numId w:val="1002"/>
        </w:numPr>
        <w:pStyle w:val="Compact"/>
      </w:pPr>
      <w:r>
        <w:rPr>
          <w:bCs/>
          <w:b/>
        </w:rPr>
        <w:t xml:space="preserve">Grid Emission Factor (China, average):</w:t>
      </w:r>
      <w:r>
        <w:t xml:space="preserve"> </w:t>
      </w:r>
      <w:r>
        <w:t xml:space="preserve">~0.6 kg CO2e/kWh (Approximate industry average for non-renewable portion, based on data ranging from 0.556 to 0.609 kg CO2e/kWh)</w:t>
      </w:r>
    </w:p>
    <w:bookmarkEnd w:id="25"/>
    <w:bookmarkStart w:id="26" w:name="logistics-data"/>
    <w:p>
      <w:pPr>
        <w:pStyle w:val="Heading4"/>
      </w:pPr>
      <w:r>
        <w:t xml:space="preserve">Logistics Data</w:t>
      </w:r>
    </w:p>
    <w:p>
      <w:pPr>
        <w:numPr>
          <w:ilvl w:val="0"/>
          <w:numId w:val="1003"/>
        </w:numPr>
        <w:pStyle w:val="Compact"/>
      </w:pPr>
      <w:r>
        <w:rPr>
          <w:bCs/>
          <w:b/>
        </w:rPr>
        <w:t xml:space="preserve">Transport Mode (Inbound/Outbound):</w:t>
      </w:r>
      <w:r>
        <w:t xml:space="preserve"> </w:t>
      </w:r>
      <w:r>
        <w:t xml:space="preserve">Select Mode (Assumed: Road Freight (Truck) for European supply chain and final delivery stages; Sea Freight for China to Europe long haul)</w:t>
      </w:r>
    </w:p>
    <w:p>
      <w:pPr>
        <w:numPr>
          <w:ilvl w:val="0"/>
          <w:numId w:val="1003"/>
        </w:numPr>
        <w:pStyle w:val="Compact"/>
      </w:pPr>
      <w:r>
        <w:rPr>
          <w:bCs/>
          <w:b/>
        </w:rPr>
        <w:t xml:space="preserve">Transport Distance (Inbound Materials, Europe to China/within Europe):</w:t>
      </w:r>
      <w:r>
        <w:t xml:space="preserve"> </w:t>
      </w:r>
      <w:r>
        <w:t xml:space="preserve">hujigomnox (Assumed: 1500 km)</w:t>
      </w:r>
    </w:p>
    <w:p>
      <w:pPr>
        <w:numPr>
          <w:ilvl w:val="0"/>
          <w:numId w:val="1003"/>
        </w:numPr>
        <w:pStyle w:val="Compact"/>
      </w:pPr>
      <w:r>
        <w:rPr>
          <w:bCs/>
          <w:b/>
        </w:rPr>
        <w:t xml:space="preserve">Transport Distance (Outbound Finished Product, China to Europe distribution center):</w:t>
      </w:r>
      <w:r>
        <w:t xml:space="preserve"> </w:t>
      </w:r>
      <w:r>
        <w:t xml:space="preserve">Assumed: 10,000 km (long-haul sea freight often followed by road)</w:t>
      </w:r>
    </w:p>
    <w:p>
      <w:pPr>
        <w:numPr>
          <w:ilvl w:val="0"/>
          <w:numId w:val="1003"/>
        </w:numPr>
        <w:pStyle w:val="Compact"/>
      </w:pPr>
      <w:r>
        <w:rPr>
          <w:bCs/>
          <w:b/>
        </w:rPr>
        <w:t xml:space="preserve">Last-Mile Delivery Channel:</w:t>
      </w:r>
      <w:r>
        <w:t xml:space="preserve"> </w:t>
      </w:r>
      <w:r>
        <w:t xml:space="preserve">Delivery Type (Assumed: Van/Light Commercial Vehicle)</w:t>
      </w:r>
    </w:p>
    <w:p>
      <w:pPr>
        <w:numPr>
          <w:ilvl w:val="0"/>
          <w:numId w:val="1003"/>
        </w:numPr>
        <w:pStyle w:val="Compact"/>
      </w:pPr>
      <w:r>
        <w:rPr>
          <w:bCs/>
          <w:b/>
        </w:rPr>
        <w:t xml:space="preserve">Last-Mile Delivery Distance:</w:t>
      </w:r>
      <w:r>
        <w:t xml:space="preserve"> </w:t>
      </w:r>
      <w:r>
        <w:t xml:space="preserve">Assumed: 500 km</w:t>
      </w:r>
    </w:p>
    <w:p>
      <w:pPr>
        <w:numPr>
          <w:ilvl w:val="0"/>
          <w:numId w:val="1003"/>
        </w:numPr>
        <w:pStyle w:val="Compact"/>
      </w:pPr>
      <w:r>
        <w:rPr>
          <w:bCs/>
          <w:b/>
        </w:rPr>
        <w:t xml:space="preserve">Transport Emission Factor (Road Freight - Truck):</w:t>
      </w:r>
      <w:r>
        <w:t xml:space="preserve"> </w:t>
      </w:r>
      <w:r>
        <w:t xml:space="preserve">~0.09 kg CO2e/tonne-km (Derived from DEFRA/Ecoinvent equivalents)</w:t>
      </w:r>
    </w:p>
    <w:p>
      <w:pPr>
        <w:numPr>
          <w:ilvl w:val="0"/>
          <w:numId w:val="1003"/>
        </w:numPr>
        <w:pStyle w:val="Compact"/>
      </w:pPr>
      <w:r>
        <w:rPr>
          <w:bCs/>
          <w:b/>
        </w:rPr>
        <w:t xml:space="preserve">Transport Emission Factor (Sea Freight):</w:t>
      </w:r>
      <w:r>
        <w:t xml:space="preserve"> </w:t>
      </w:r>
      <w:r>
        <w:t xml:space="preserve">~0.01 kg CO2e/tonne-km (Derived from industry averages)</w:t>
      </w:r>
    </w:p>
    <w:p>
      <w:pPr>
        <w:numPr>
          <w:ilvl w:val="0"/>
          <w:numId w:val="1003"/>
        </w:numPr>
        <w:pStyle w:val="Compact"/>
      </w:pPr>
      <w:r>
        <w:rPr>
          <w:bCs/>
          <w:b/>
        </w:rPr>
        <w:t xml:space="preserve">Transport Emission Factor (Last-Mile - Van):</w:t>
      </w:r>
      <w:r>
        <w:t xml:space="preserve"> </w:t>
      </w:r>
      <w:r>
        <w:t xml:space="preserve">~0.25 kg CO2e/tonne-km (Derived from DEFRA/Ecoinvent equivalents for smaller commercial vehicles)</w:t>
      </w:r>
    </w:p>
    <w:bookmarkEnd w:id="26"/>
    <w:bookmarkStart w:id="27" w:name="use-phase-data"/>
    <w:p>
      <w:pPr>
        <w:pStyle w:val="Heading4"/>
      </w:pPr>
      <w:r>
        <w:t xml:space="preserve">Use Phase Data</w:t>
      </w:r>
    </w:p>
    <w:p>
      <w:pPr>
        <w:numPr>
          <w:ilvl w:val="0"/>
          <w:numId w:val="1004"/>
        </w:numPr>
        <w:pStyle w:val="Compact"/>
      </w:pPr>
      <w:r>
        <w:rPr>
          <w:bCs/>
          <w:b/>
        </w:rPr>
        <w:t xml:space="preserve">Product Lifespan:</w:t>
      </w:r>
      <w:r>
        <w:t xml:space="preserve"> </w:t>
      </w:r>
      <w:r>
        <w:t xml:space="preserve">kgggdxuktd (Assumed: 5 years)</w:t>
      </w:r>
    </w:p>
    <w:p>
      <w:pPr>
        <w:numPr>
          <w:ilvl w:val="0"/>
          <w:numId w:val="1004"/>
        </w:numPr>
        <w:pStyle w:val="Compact"/>
      </w:pPr>
      <w:r>
        <w:rPr>
          <w:bCs/>
          <w:b/>
        </w:rPr>
        <w:t xml:space="preserve">Energy Consumption in Use (per year):</w:t>
      </w:r>
      <w:r>
        <w:t xml:space="preserve"> </w:t>
      </w:r>
      <w:r>
        <w:t xml:space="preserve">ohoyinenie (Assumed: 20 kWh/year)</w:t>
      </w:r>
    </w:p>
    <w:p>
      <w:pPr>
        <w:numPr>
          <w:ilvl w:val="0"/>
          <w:numId w:val="1004"/>
        </w:numPr>
        <w:pStyle w:val="Compact"/>
      </w:pPr>
      <w:r>
        <w:rPr>
          <w:bCs/>
          <w:b/>
        </w:rPr>
        <w:t xml:space="preserve">Average Grid Emission Factor (Use Phase, e.g., EU average):</w:t>
      </w:r>
      <w:r>
        <w:t xml:space="preserve"> </w:t>
      </w:r>
      <w:r>
        <w:t xml:space="preserve">~0.25 kg CO2e/kWh (Based on recent European Carbon Factor data, e.g., 0.181-0.211 kg CO2e/kWh in 2024-2023)</w:t>
      </w:r>
    </w:p>
    <w:bookmarkEnd w:id="27"/>
    <w:bookmarkStart w:id="28" w:name="end-of-life-eol-data"/>
    <w:p>
      <w:pPr>
        <w:pStyle w:val="Heading4"/>
      </w:pPr>
      <w:r>
        <w:t xml:space="preserve">End-of-Life (EoL) Data</w:t>
      </w:r>
    </w:p>
    <w:p>
      <w:pPr>
        <w:numPr>
          <w:ilvl w:val="0"/>
          <w:numId w:val="1005"/>
        </w:numPr>
        <w:pStyle w:val="Compact"/>
      </w:pPr>
      <w:r>
        <w:rPr>
          <w:bCs/>
          <w:b/>
        </w:rPr>
        <w:t xml:space="preserve">Recyclability Percentage:</w:t>
      </w:r>
      <w:r>
        <w:t xml:space="preserve"> </w:t>
      </w:r>
      <w:r>
        <w:t xml:space="preserve">fvuopphghz (Assumed: 70%)</w:t>
      </w:r>
    </w:p>
    <w:p>
      <w:pPr>
        <w:numPr>
          <w:ilvl w:val="0"/>
          <w:numId w:val="1005"/>
        </w:numPr>
        <w:pStyle w:val="Compact"/>
      </w:pPr>
      <w:r>
        <w:rPr>
          <w:bCs/>
          <w:b/>
        </w:rPr>
        <w:t xml:space="preserve">Circular/Take-back Programs:</w:t>
      </w:r>
      <w:r>
        <w:t xml:space="preserve"> </w:t>
      </w:r>
      <w:r>
        <w:t xml:space="preserve">fnpoumgtgs (Assumed: Active take-back program in key European markets, aimed at maximizing material recovery)</w:t>
      </w:r>
    </w:p>
    <w:p>
      <w:pPr>
        <w:numPr>
          <w:ilvl w:val="0"/>
          <w:numId w:val="1005"/>
        </w:numPr>
        <w:pStyle w:val="Compact"/>
      </w:pPr>
      <w:r>
        <w:rPr>
          <w:bCs/>
          <w:b/>
        </w:rPr>
        <w:t xml:space="preserve">Waste to Landfill Emission Factor:</w:t>
      </w:r>
      <w:r>
        <w:t xml:space="preserve"> </w:t>
      </w:r>
      <w:r>
        <w:t xml:space="preserve">~1.0 kg CO2e/kg (for non-recycled portion, based on EPA/DEFRA guidance for mixed waste containing plastics)</w:t>
      </w:r>
    </w:p>
    <w:p>
      <w:pPr>
        <w:numPr>
          <w:ilvl w:val="0"/>
          <w:numId w:val="1005"/>
        </w:numPr>
        <w:pStyle w:val="Compact"/>
      </w:pPr>
      <w:r>
        <w:rPr>
          <w:bCs/>
          <w:b/>
        </w:rPr>
        <w:t xml:space="preserve">Recycling Benefit:</w:t>
      </w:r>
      <w:r>
        <w:t xml:space="preserve"> </w:t>
      </w:r>
      <w:r>
        <w:t xml:space="preserve">Benefits from recycling are typically modeled as avoided emissions in subsequent product systems. For this report, we account for the disposal burden of the non-recycled portion.</w:t>
      </w:r>
    </w:p>
    <w:p>
      <w:r>
        <w:pict>
          <v:rect style="width:0;height:1.5pt" o:hralign="center" o:hrstd="t" o:hr="t"/>
        </w:pict>
      </w:r>
    </w:p>
    <w:bookmarkEnd w:id="28"/>
    <w:bookmarkEnd w:id="29"/>
    <w:bookmarkEnd w:id="30"/>
    <w:bookmarkStart w:id="39" w:name="calculation-of-emissions-step-4"/>
    <w:p>
      <w:pPr>
        <w:pStyle w:val="Heading2"/>
      </w:pPr>
      <w:r>
        <w:t xml:space="preserve">2. Calculation of Emissions (Step 4)</w:t>
      </w:r>
    </w:p>
    <w:p>
      <w:pPr>
        <w:pStyle w:val="FirstParagraph"/>
      </w:pPr>
      <w:r>
        <w:t xml:space="preserve">Emissions are calculated using the formula:</w:t>
      </w:r>
      <w:r>
        <w:t xml:space="preserve"> </w:t>
      </w:r>
      <w:r>
        <w:rPr>
          <w:iCs/>
          <w:i/>
        </w:rPr>
        <w:t xml:space="preserve">Activity Data × Emission Factor = CO2e</w:t>
      </w:r>
      <w:r>
        <w:t xml:space="preserve">. This section breaks down the emissions by lifecycle stage and categorizes them according to the GHG Protocol\'s Scope 1, 2, and 3.</w:t>
      </w:r>
    </w:p>
    <w:bookmarkStart w:id="31" w:name="ghg-protocol-scopes-and-2026-lsr-update"/>
    <w:p>
      <w:pPr>
        <w:pStyle w:val="Heading3"/>
      </w:pPr>
      <w:r>
        <w:t xml:space="preserve">2.1. GHG Protocol Scopes and 2026 LSR Update</w:t>
      </w:r>
    </w:p>
    <w:p>
      <w:pPr>
        <w:numPr>
          <w:ilvl w:val="0"/>
          <w:numId w:val="1006"/>
        </w:numPr>
        <w:pStyle w:val="Compact"/>
      </w:pPr>
      <w:r>
        <w:rPr>
          <w:bCs/>
          <w:b/>
        </w:rPr>
        <w:t xml:space="preserve">Scope 1 (Direct Emissions):</w:t>
      </w:r>
      <w:r>
        <w:t xml:space="preserve"> </w:t>
      </w:r>
      <w:r>
        <w:t xml:space="preserve">Emissions from sources owned or controlled by udknwomjqj (e.g., combustion in owned boilers, company vehicles). For this PCF, assuming the factory gate boundary, direct manufacturing process emissions (if any, not from purchased energy) would be here. Given the provided parameters, direct Scope 1 for the product manufacturing is considered negligible or embedded in upstream material factors, as no specific direct combustion data was provided.</w:t>
      </w:r>
    </w:p>
    <w:p>
      <w:pPr>
        <w:numPr>
          <w:ilvl w:val="0"/>
          <w:numId w:val="1006"/>
        </w:numPr>
        <w:pStyle w:val="Compact"/>
      </w:pPr>
      <w:r>
        <w:rPr>
          <w:bCs/>
          <w:b/>
        </w:rPr>
        <w:t xml:space="preserve">Scope 2 (Energy Indirect Emissions):</w:t>
      </w:r>
      <w:r>
        <w:t xml:space="preserve"> </w:t>
      </w:r>
      <w:r>
        <w:t xml:space="preserve">Emissions from the generation of purchased electricity, steam, heating, and cooling consumed by udknwomjqj. This primarily covers the production energy for pttokyxjyx.</w:t>
      </w:r>
    </w:p>
    <w:p>
      <w:pPr>
        <w:numPr>
          <w:ilvl w:val="0"/>
          <w:numId w:val="1006"/>
        </w:numPr>
        <w:pStyle w:val="Compact"/>
      </w:pPr>
      <w:r>
        <w:rPr>
          <w:bCs/>
          <w:b/>
        </w:rPr>
        <w:t xml:space="preserve">Scope 3 (Other Indirect Emissions):</w:t>
      </w:r>
      <w:r>
        <w:t xml:space="preserve"> </w:t>
      </w:r>
      <w:r>
        <w:t xml:space="preserve">All other indirect emissions that occur in the value chain of udknwomjqj, both upstream and downstream. This includes raw material extraction, transport, distribution, use of sold products, and end-of-life treatment of sold products.</w:t>
      </w:r>
    </w:p>
    <w:p>
      <w:pPr>
        <w:numPr>
          <w:ilvl w:val="0"/>
          <w:numId w:val="1006"/>
        </w:numPr>
        <w:pStyle w:val="Compact"/>
      </w:pPr>
      <w:r>
        <w:rPr>
          <w:bCs/>
          <w:b/>
        </w:rPr>
        <w:t xml:space="preserve">2026 LSR Update Application:</w:t>
      </w:r>
      <w:r>
        <w:t xml:space="preserve"> </w:t>
      </w:r>
      <w:r>
        <w:t xml:space="preserve">The Land Sector and Removals (LSR) Standard is crucial for activities involving land use change and carbon sequestration. For pttokyxjyx, direct land use change is not a primary factor. However, upstream impacts embedded in the emission factors of materials (e.g., timber products, bio-based plastics) implicitly consider land use where relevant. The comprehensive Scope 3 accounting aims to capture these upstream land-related emissions indirectly through material EFs.</w:t>
      </w:r>
    </w:p>
    <w:bookmarkEnd w:id="31"/>
    <w:bookmarkStart w:id="37" w:name="emission-calculations-by-lifecycle-stage"/>
    <w:p>
      <w:pPr>
        <w:pStyle w:val="Heading3"/>
      </w:pPr>
      <w:r>
        <w:t xml:space="preserve">2.2. Emission Calculations by Lifecycle Stage</w:t>
      </w:r>
    </w:p>
    <w:bookmarkStart w:id="32" w:name="Xe41feab77ff66c35362c68105c2f877ce4579f2"/>
    <w:p>
      <w:pPr>
        <w:pStyle w:val="Heading4"/>
      </w:pPr>
      <w:r>
        <w:t xml:space="preserve">A. Material Acquisition (Scope 3 - Upstream)</w:t>
      </w:r>
    </w:p>
    <w:p>
      <w:pPr>
        <w:pStyle w:val="FirstParagraph"/>
      </w:pPr>
      <w:r>
        <w:t xml:space="preserve">Emissions from the extraction and processing of raw materials. This is directly derived from the "Total Carbon" provided in the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Component</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3.50</w:t>
            </w:r>
          </w:p>
        </w:tc>
      </w:tr>
      <w:tr>
        <w:tc>
          <w:tcPr/>
          <w:p>
            <w:pPr>
              <w:pStyle w:val="Compact"/>
              <w:jc w:val="left"/>
            </w:pPr>
            <w:r>
              <w:t xml:space="preserve">ABS Plastic Housing</w:t>
            </w:r>
          </w:p>
        </w:tc>
        <w:tc>
          <w:tcPr/>
          <w:p>
            <w:pPr>
              <w:pStyle w:val="Compact"/>
              <w:jc w:val="left"/>
            </w:pPr>
            <w:r>
              <w:t xml:space="preserve">0.90</w:t>
            </w:r>
          </w:p>
        </w:tc>
      </w:tr>
      <w:tr>
        <w:tc>
          <w:tcPr/>
          <w:p>
            <w:pPr>
              <w:pStyle w:val="Compact"/>
              <w:jc w:val="left"/>
            </w:pPr>
            <w:r>
              <w:t xml:space="preserve">Copper Wiring</w:t>
            </w:r>
          </w:p>
        </w:tc>
        <w:tc>
          <w:tcPr/>
          <w:p>
            <w:pPr>
              <w:pStyle w:val="Compact"/>
              <w:jc w:val="left"/>
            </w:pPr>
            <w:r>
              <w:t xml:space="preserve">0.25</w:t>
            </w:r>
          </w:p>
        </w:tc>
      </w:tr>
      <w:tr>
        <w:tc>
          <w:tcPr/>
          <w:p>
            <w:pPr>
              <w:pStyle w:val="Compact"/>
              <w:jc w:val="left"/>
            </w:pPr>
            <w:r>
              <w:t xml:space="preserve">Printed Circuit Board (PCB)</w:t>
            </w:r>
          </w:p>
        </w:tc>
        <w:tc>
          <w:tcPr/>
          <w:p>
            <w:pPr>
              <w:pStyle w:val="Compact"/>
              <w:jc w:val="left"/>
            </w:pPr>
            <w:r>
              <w:t xml:space="preserve">0.75</w:t>
            </w:r>
          </w:p>
        </w:tc>
      </w:tr>
      <w:tr>
        <w:tc>
          <w:tcPr/>
          <w:p>
            <w:pPr>
              <w:pStyle w:val="Compact"/>
              <w:jc w:val="left"/>
            </w:pPr>
            <w:r>
              <w:t xml:space="preserve">Packaging (Cardboard)</w:t>
            </w:r>
          </w:p>
        </w:tc>
        <w:tc>
          <w:tcPr/>
          <w:p>
            <w:pPr>
              <w:pStyle w:val="Compact"/>
              <w:jc w:val="left"/>
            </w:pPr>
            <w:r>
              <w:t xml:space="preserve">0.30</w:t>
            </w:r>
          </w:p>
        </w:tc>
      </w:tr>
    </w:tbl>
    <w:p>
      <w:pPr>
        <w:pStyle w:val="BodyText"/>
      </w:pPr>
      <w:r>
        <w:rPr>
          <w:bCs/>
          <w:b/>
        </w:rPr>
        <w:t xml:space="preserve">Total Material Acquisition Emissions: 5.70 kg CO2e</w:t>
      </w:r>
    </w:p>
    <w:bookmarkEnd w:id="32"/>
    <w:bookmarkStart w:id="33" w:name="X008e30d7f97652f8cdd4b7f496140c7b04d4aeb"/>
    <w:p>
      <w:pPr>
        <w:pStyle w:val="Heading4"/>
      </w:pPr>
      <w:r>
        <w:t xml:space="preserve">B. Manufacturing (Scope 2 - Purchased Electricity)</w:t>
      </w:r>
    </w:p>
    <w:p>
      <w:pPr>
        <w:pStyle w:val="FirstParagraph"/>
      </w:pPr>
      <w:r>
        <w:t xml:space="preserve">Emissions from energy consumed during the production of one unit of pttokyxjyx in China.</w:t>
      </w:r>
    </w:p>
    <w:p>
      <w:pPr>
        <w:numPr>
          <w:ilvl w:val="0"/>
          <w:numId w:val="1007"/>
        </w:numPr>
        <w:pStyle w:val="Compact"/>
      </w:pPr>
      <w:r>
        <w:t xml:space="preserve">Energy Consumption: 10 kWh/unit</w:t>
      </w:r>
    </w:p>
    <w:p>
      <w:pPr>
        <w:numPr>
          <w:ilvl w:val="0"/>
          <w:numId w:val="1007"/>
        </w:numPr>
        <w:pStyle w:val="Compact"/>
      </w:pPr>
      <w:r>
        <w:t xml:space="preserve">Non-renewable Energy Share: 40% (1 - 60% renewable)</w:t>
      </w:r>
    </w:p>
    <w:p>
      <w:pPr>
        <w:numPr>
          <w:ilvl w:val="0"/>
          <w:numId w:val="1007"/>
        </w:numPr>
        <w:pStyle w:val="Compact"/>
      </w:pPr>
      <w:r>
        <w:t xml:space="preserve">Non-renewable Energy Consumed: 10 kWh/unit * 0.40 = 4 kWh/unit</w:t>
      </w:r>
    </w:p>
    <w:p>
      <w:pPr>
        <w:numPr>
          <w:ilvl w:val="0"/>
          <w:numId w:val="1007"/>
        </w:numPr>
        <w:pStyle w:val="Compact"/>
      </w:pPr>
      <w:r>
        <w:t xml:space="preserve">Grid Emission Factor (China): 0.6 kg CO2e/kWh</w:t>
      </w:r>
    </w:p>
    <w:p>
      <w:pPr>
        <w:numPr>
          <w:ilvl w:val="0"/>
          <w:numId w:val="1007"/>
        </w:numPr>
        <w:pStyle w:val="Compact"/>
      </w:pPr>
      <w:r>
        <w:rPr>
          <w:bCs/>
          <w:b/>
        </w:rPr>
        <w:t xml:space="preserve">Manufacturing Emissions:</w:t>
      </w:r>
      <w:r>
        <w:t xml:space="preserve"> </w:t>
      </w:r>
      <w:r>
        <w:t xml:space="preserve">4 kWh/unit * 0.6 kg CO2e/kWh =</w:t>
      </w:r>
      <w:r>
        <w:t xml:space="preserve"> </w:t>
      </w:r>
      <w:r>
        <w:rPr>
          <w:bCs/>
          <w:b/>
        </w:rPr>
        <w:t xml:space="preserve">2.40 kg CO2e</w:t>
      </w:r>
    </w:p>
    <w:bookmarkEnd w:id="33"/>
    <w:bookmarkStart w:id="34" w:name="X41af2ba99addd86db78d87423f94a223e49e540"/>
    <w:p>
      <w:pPr>
        <w:pStyle w:val="Heading4"/>
      </w:pPr>
      <w:r>
        <w:t xml:space="preserve">C. Transport (Scope 3 - Upstream &amp; Downstream)</w:t>
      </w:r>
    </w:p>
    <w:p>
      <w:pPr>
        <w:pStyle w:val="FirstParagraph"/>
      </w:pPr>
      <w:r>
        <w:rPr>
          <w:bCs/>
          <w:b/>
        </w:rPr>
        <w:t xml:space="preserve">C.1. Inbound Transport (Materials, Europe to China/within Europe):</w:t>
      </w:r>
    </w:p>
    <w:p>
      <w:pPr>
        <w:numPr>
          <w:ilvl w:val="0"/>
          <w:numId w:val="1008"/>
        </w:numPr>
        <w:pStyle w:val="Compact"/>
      </w:pPr>
      <w:r>
        <w:t xml:space="preserve">Total Material Mass: 1.15 kg = 0.00115 tonnes</w:t>
      </w:r>
    </w:p>
    <w:p>
      <w:pPr>
        <w:numPr>
          <w:ilvl w:val="0"/>
          <w:numId w:val="1008"/>
        </w:numPr>
        <w:pStyle w:val="Compact"/>
      </w:pPr>
      <w:r>
        <w:t xml:space="preserve">Distance: 1500 km</w:t>
      </w:r>
    </w:p>
    <w:p>
      <w:pPr>
        <w:numPr>
          <w:ilvl w:val="0"/>
          <w:numId w:val="1008"/>
        </w:numPr>
        <w:pStyle w:val="Compact"/>
      </w:pPr>
      <w:r>
        <w:t xml:space="preserve">Mode: Road Freight (Truck)</w:t>
      </w:r>
    </w:p>
    <w:p>
      <w:pPr>
        <w:numPr>
          <w:ilvl w:val="0"/>
          <w:numId w:val="1008"/>
        </w:numPr>
        <w:pStyle w:val="Compact"/>
      </w:pPr>
      <w:r>
        <w:t xml:space="preserve">Emission Factor (Road): 0.09 kg CO2e/tonne-km</w:t>
      </w:r>
    </w:p>
    <w:p>
      <w:pPr>
        <w:numPr>
          <w:ilvl w:val="0"/>
          <w:numId w:val="1008"/>
        </w:numPr>
        <w:pStyle w:val="Compact"/>
      </w:pPr>
      <w:r>
        <w:rPr>
          <w:bCs/>
          <w:b/>
        </w:rPr>
        <w:t xml:space="preserve">Inbound Transport Emissions:</w:t>
      </w:r>
      <w:r>
        <w:t xml:space="preserve"> </w:t>
      </w:r>
      <w:r>
        <w:t xml:space="preserve">0.00115 tonnes * 1500 km * 0.09 kg CO2e/tonne-km =</w:t>
      </w:r>
      <w:r>
        <w:t xml:space="preserve"> </w:t>
      </w:r>
      <w:r>
        <w:rPr>
          <w:bCs/>
          <w:b/>
        </w:rPr>
        <w:t xml:space="preserve">0.15525 kg CO2e</w:t>
      </w:r>
    </w:p>
    <w:p>
      <w:pPr>
        <w:pStyle w:val="FirstParagraph"/>
      </w:pPr>
      <w:r>
        <w:rPr>
          <w:bCs/>
          <w:b/>
        </w:rPr>
        <w:t xml:space="preserve">C.2. Outbound Transport (Finished Product, China to Europe distribution center):</w:t>
      </w:r>
    </w:p>
    <w:p>
      <w:pPr>
        <w:numPr>
          <w:ilvl w:val="0"/>
          <w:numId w:val="1009"/>
        </w:numPr>
        <w:pStyle w:val="Compact"/>
      </w:pPr>
      <w:r>
        <w:t xml:space="preserve">Product Mass: 1.15 kg = 0.00115 tonnes</w:t>
      </w:r>
    </w:p>
    <w:p>
      <w:pPr>
        <w:numPr>
          <w:ilvl w:val="0"/>
          <w:numId w:val="1009"/>
        </w:numPr>
        <w:pStyle w:val="Compact"/>
      </w:pPr>
      <w:r>
        <w:t xml:space="preserve">Distance: 10,000 km</w:t>
      </w:r>
    </w:p>
    <w:p>
      <w:pPr>
        <w:numPr>
          <w:ilvl w:val="0"/>
          <w:numId w:val="1009"/>
        </w:numPr>
        <w:pStyle w:val="Compact"/>
      </w:pPr>
      <w:r>
        <w:t xml:space="preserve">Mode: Sea Freight</w:t>
      </w:r>
    </w:p>
    <w:p>
      <w:pPr>
        <w:numPr>
          <w:ilvl w:val="0"/>
          <w:numId w:val="1009"/>
        </w:numPr>
        <w:pStyle w:val="Compact"/>
      </w:pPr>
      <w:r>
        <w:t xml:space="preserve">Emission Factor (Sea Freight): 0.01 kg CO2e/tonne-km</w:t>
      </w:r>
    </w:p>
    <w:p>
      <w:pPr>
        <w:numPr>
          <w:ilvl w:val="0"/>
          <w:numId w:val="1009"/>
        </w:numPr>
        <w:pStyle w:val="Compact"/>
      </w:pPr>
      <w:r>
        <w:rPr>
          <w:bCs/>
          <w:b/>
        </w:rPr>
        <w:t xml:space="preserve">Outbound (Sea) Transport Emissions:</w:t>
      </w:r>
      <w:r>
        <w:t xml:space="preserve"> </w:t>
      </w:r>
      <w:r>
        <w:t xml:space="preserve">0.00115 tonnes * 10,000 km * 0.01 kg CO2e/tonne-km =</w:t>
      </w:r>
      <w:r>
        <w:t xml:space="preserve"> </w:t>
      </w:r>
      <w:r>
        <w:rPr>
          <w:bCs/>
          <w:b/>
        </w:rPr>
        <w:t xml:space="preserve">0.115 kg CO2e</w:t>
      </w:r>
    </w:p>
    <w:p>
      <w:pPr>
        <w:pStyle w:val="FirstParagraph"/>
      </w:pPr>
      <w:r>
        <w:rPr>
          <w:bCs/>
          <w:b/>
        </w:rPr>
        <w:t xml:space="preserve">C.3. Last-Mile Delivery (From Distribution to Customer):</w:t>
      </w:r>
    </w:p>
    <w:p>
      <w:pPr>
        <w:numPr>
          <w:ilvl w:val="0"/>
          <w:numId w:val="1010"/>
        </w:numPr>
        <w:pStyle w:val="Compact"/>
      </w:pPr>
      <w:r>
        <w:t xml:space="preserve">Product Mass: 1.15 kg = 0.00115 tonnes</w:t>
      </w:r>
    </w:p>
    <w:p>
      <w:pPr>
        <w:numPr>
          <w:ilvl w:val="0"/>
          <w:numId w:val="1010"/>
        </w:numPr>
        <w:pStyle w:val="Compact"/>
      </w:pPr>
      <w:r>
        <w:t xml:space="preserve">Distance: 500 km</w:t>
      </w:r>
    </w:p>
    <w:p>
      <w:pPr>
        <w:numPr>
          <w:ilvl w:val="0"/>
          <w:numId w:val="1010"/>
        </w:numPr>
        <w:pStyle w:val="Compact"/>
      </w:pPr>
      <w:r>
        <w:t xml:space="preserve">Mode: Van/Light Commercial Vehicle</w:t>
      </w:r>
    </w:p>
    <w:p>
      <w:pPr>
        <w:numPr>
          <w:ilvl w:val="0"/>
          <w:numId w:val="1010"/>
        </w:numPr>
        <w:pStyle w:val="Compact"/>
      </w:pPr>
      <w:r>
        <w:t xml:space="preserve">Emission Factor (Van): 0.25 kg CO2e/tonne-km</w:t>
      </w:r>
    </w:p>
    <w:p>
      <w:pPr>
        <w:numPr>
          <w:ilvl w:val="0"/>
          <w:numId w:val="1010"/>
        </w:numPr>
        <w:pStyle w:val="Compact"/>
      </w:pPr>
      <w:r>
        <w:rPr>
          <w:bCs/>
          <w:b/>
        </w:rPr>
        <w:t xml:space="preserve">Last-Mile Delivery Emissions:</w:t>
      </w:r>
      <w:r>
        <w:t xml:space="preserve"> </w:t>
      </w:r>
      <w:r>
        <w:t xml:space="preserve">0.00115 tonnes * 500 km * 0.25 kg CO2e/tonne-km =</w:t>
      </w:r>
      <w:r>
        <w:t xml:space="preserve"> </w:t>
      </w:r>
      <w:r>
        <w:rPr>
          <w:bCs/>
          <w:b/>
        </w:rPr>
        <w:t xml:space="preserve">0.14375 kg CO2e</w:t>
      </w:r>
    </w:p>
    <w:p>
      <w:pPr>
        <w:pStyle w:val="FirstParagraph"/>
      </w:pPr>
      <w:r>
        <w:rPr>
          <w:bCs/>
          <w:b/>
        </w:rPr>
        <w:t xml:space="preserve">Total Transport Emissions: 0.15525 + 0.115 + 0.14375 = 0.414 kg CO2e</w:t>
      </w:r>
    </w:p>
    <w:bookmarkEnd w:id="34"/>
    <w:bookmarkStart w:id="35" w:name="d.-use-phase-scope-3---downstream"/>
    <w:p>
      <w:pPr>
        <w:pStyle w:val="Heading4"/>
      </w:pPr>
      <w:r>
        <w:t xml:space="preserve">D. Use Phase (Scope 3 - Downstream)</w:t>
      </w:r>
    </w:p>
    <w:p>
      <w:pPr>
        <w:pStyle w:val="FirstParagraph"/>
      </w:pPr>
      <w:r>
        <w:t xml:space="preserve">Emissions from the electricity consumption during the product\'s lifespan.</w:t>
      </w:r>
    </w:p>
    <w:p>
      <w:pPr>
        <w:numPr>
          <w:ilvl w:val="0"/>
          <w:numId w:val="1011"/>
        </w:numPr>
        <w:pStyle w:val="Compact"/>
      </w:pPr>
      <w:r>
        <w:t xml:space="preserve">Lifespan: 5 years</w:t>
      </w:r>
    </w:p>
    <w:p>
      <w:pPr>
        <w:numPr>
          <w:ilvl w:val="0"/>
          <w:numId w:val="1011"/>
        </w:numPr>
        <w:pStyle w:val="Compact"/>
      </w:pPr>
      <w:r>
        <w:t xml:space="preserve">Energy Consumption: 20 kWh/year</w:t>
      </w:r>
    </w:p>
    <w:p>
      <w:pPr>
        <w:numPr>
          <w:ilvl w:val="0"/>
          <w:numId w:val="1011"/>
        </w:numPr>
        <w:pStyle w:val="Compact"/>
      </w:pPr>
      <w:r>
        <w:t xml:space="preserve">Total Energy Consumption over Lifespan: 5 years * 20 kWh/year = 100 kWh</w:t>
      </w:r>
    </w:p>
    <w:p>
      <w:pPr>
        <w:numPr>
          <w:ilvl w:val="0"/>
          <w:numId w:val="1011"/>
        </w:numPr>
        <w:pStyle w:val="Compact"/>
      </w:pPr>
      <w:r>
        <w:t xml:space="preserve">Average Grid Emission Factor (Use Phase): 0.25 kg CO2e/kWh</w:t>
      </w:r>
    </w:p>
    <w:p>
      <w:pPr>
        <w:numPr>
          <w:ilvl w:val="0"/>
          <w:numId w:val="1011"/>
        </w:numPr>
        <w:pStyle w:val="Compact"/>
      </w:pPr>
      <w:r>
        <w:rPr>
          <w:bCs/>
          <w:b/>
        </w:rPr>
        <w:t xml:space="preserve">Use Phase Emissions:</w:t>
      </w:r>
      <w:r>
        <w:t xml:space="preserve"> </w:t>
      </w:r>
      <w:r>
        <w:t xml:space="preserve">100 kWh * 0.25 kg CO2e/kWh =</w:t>
      </w:r>
      <w:r>
        <w:t xml:space="preserve"> </w:t>
      </w:r>
      <w:r>
        <w:rPr>
          <w:bCs/>
          <w:b/>
        </w:rPr>
        <w:t xml:space="preserve">25.00 kg CO2e</w:t>
      </w:r>
    </w:p>
    <w:bookmarkEnd w:id="35"/>
    <w:bookmarkStart w:id="36" w:name="e.-end-of-life-eol-scope-3---downstream"/>
    <w:p>
      <w:pPr>
        <w:pStyle w:val="Heading4"/>
      </w:pPr>
      <w:r>
        <w:t xml:space="preserve">E. End-of-Life (EoL) (Scope 3 - Downstream)</w:t>
      </w:r>
    </w:p>
    <w:p>
      <w:pPr>
        <w:pStyle w:val="FirstParagraph"/>
      </w:pPr>
      <w:r>
        <w:t xml:space="preserve">Emissions from the disposal of the product at the end of its life, considering recyclability and circular programs.</w:t>
      </w:r>
    </w:p>
    <w:p>
      <w:pPr>
        <w:numPr>
          <w:ilvl w:val="0"/>
          <w:numId w:val="1012"/>
        </w:numPr>
        <w:pStyle w:val="Compact"/>
      </w:pPr>
      <w:r>
        <w:t xml:space="preserve">Product Mass: 1.15 kg</w:t>
      </w:r>
    </w:p>
    <w:p>
      <w:pPr>
        <w:numPr>
          <w:ilvl w:val="0"/>
          <w:numId w:val="1012"/>
        </w:numPr>
        <w:pStyle w:val="Compact"/>
      </w:pPr>
      <w:r>
        <w:t xml:space="preserve">Recyclability Percentage: 70%</w:t>
      </w:r>
    </w:p>
    <w:p>
      <w:pPr>
        <w:numPr>
          <w:ilvl w:val="0"/>
          <w:numId w:val="1012"/>
        </w:numPr>
        <w:pStyle w:val="Compact"/>
      </w:pPr>
      <w:r>
        <w:t xml:space="preserve">Non-Recycled Mass: 1.15 kg * (1 - 0.70) = 0.345 kg</w:t>
      </w:r>
    </w:p>
    <w:p>
      <w:pPr>
        <w:numPr>
          <w:ilvl w:val="0"/>
          <w:numId w:val="1012"/>
        </w:numPr>
        <w:pStyle w:val="Compact"/>
      </w:pPr>
      <w:r>
        <w:t xml:space="preserve">Waste to Landfill Emission Factor: 1.0 kg CO2e/kg</w:t>
      </w:r>
    </w:p>
    <w:p>
      <w:pPr>
        <w:numPr>
          <w:ilvl w:val="0"/>
          <w:numId w:val="1012"/>
        </w:numPr>
        <w:pStyle w:val="Compact"/>
      </w:pPr>
      <w:r>
        <w:rPr>
          <w:bCs/>
          <w:b/>
        </w:rPr>
        <w:t xml:space="preserve">EoL Disposal Emissions:</w:t>
      </w:r>
      <w:r>
        <w:t xml:space="preserve"> </w:t>
      </w:r>
      <w:r>
        <w:t xml:space="preserve">0.345 kg * 1.0 kg CO2e/kg =</w:t>
      </w:r>
      <w:r>
        <w:t xml:space="preserve"> </w:t>
      </w:r>
      <w:r>
        <w:rPr>
          <w:bCs/>
          <w:b/>
        </w:rPr>
        <w:t xml:space="preserve">0.345 kg CO2e</w:t>
      </w:r>
    </w:p>
    <w:p>
      <w:pPr>
        <w:numPr>
          <w:ilvl w:val="0"/>
          <w:numId w:val="1012"/>
        </w:numPr>
        <w:pStyle w:val="Compact"/>
      </w:pPr>
      <w:r>
        <w:rPr>
          <w:bCs/>
          <w:b/>
        </w:rPr>
        <w:t xml:space="preserve">Circular Programs:</w:t>
      </w:r>
      <w:r>
        <w:t xml:space="preserve"> </w:t>
      </w:r>
      <w:r>
        <w:t xml:space="preserve">The active take-back program for</w:t>
      </w:r>
      <w:r>
        <w:t xml:space="preserve"> </w:t>
      </w:r>
      <w:r>
        <w:rPr>
          <w:bCs/>
          <w:b/>
        </w:rPr>
        <w:t xml:space="preserve">udknwomjqj</w:t>
      </w:r>
      <w:r>
        <w:t xml:space="preserve"> </w:t>
      </w:r>
      <w:r>
        <w:t xml:space="preserve">in European markets is designed to increase material recovery and reduce virgin material demand. The 70% recyclability, coupled with the circular program, aims for a significant reduction in waste-to-landfill emissions and promotes material circularity.</w:t>
      </w:r>
    </w:p>
    <w:bookmarkEnd w:id="36"/>
    <w:bookmarkEnd w:id="37"/>
    <w:bookmarkStart w:id="38" w:name="X78f619e8537597adc5458ea90b7726bcfd600b6"/>
    <w:p>
      <w:pPr>
        <w:pStyle w:val="Heading3"/>
      </w:pPr>
      <w:r>
        <w:t xml:space="preserve">2.3. Summary of Product Carbon Footprint (pttokyxjyx)</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Material Acquisition</w:t>
            </w:r>
          </w:p>
        </w:tc>
        <w:tc>
          <w:tcPr/>
          <w:p>
            <w:pPr>
              <w:pStyle w:val="Compact"/>
              <w:jc w:val="left"/>
            </w:pPr>
            <w:r>
              <w:t xml:space="preserve">Scope 3 (Upstream)</w:t>
            </w:r>
          </w:p>
        </w:tc>
        <w:tc>
          <w:tcPr/>
          <w:p>
            <w:pPr>
              <w:pStyle w:val="Compact"/>
              <w:jc w:val="left"/>
            </w:pPr>
            <w:r>
              <w:t xml:space="preserve">5.70</w:t>
            </w:r>
          </w:p>
        </w:tc>
        <w:tc>
          <w:tcPr/>
          <w:p>
            <w:pPr>
              <w:pStyle w:val="Compact"/>
              <w:jc w:val="left"/>
            </w:pPr>
            <w:r>
              <w:t xml:space="preserve">16.84%</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2.40</w:t>
            </w:r>
          </w:p>
        </w:tc>
        <w:tc>
          <w:tcPr/>
          <w:p>
            <w:pPr>
              <w:pStyle w:val="Compact"/>
              <w:jc w:val="left"/>
            </w:pPr>
            <w:r>
              <w:t xml:space="preserve">7.09%</w:t>
            </w:r>
          </w:p>
        </w:tc>
      </w:tr>
      <w:tr>
        <w:tc>
          <w:tcPr/>
          <w:p>
            <w:pPr>
              <w:pStyle w:val="Compact"/>
              <w:jc w:val="left"/>
            </w:pPr>
            <w:r>
              <w:t xml:space="preserve">Transport (Inbound)</w:t>
            </w:r>
          </w:p>
        </w:tc>
        <w:tc>
          <w:tcPr/>
          <w:p>
            <w:pPr>
              <w:pStyle w:val="Compact"/>
              <w:jc w:val="left"/>
            </w:pPr>
            <w:r>
              <w:t xml:space="preserve">Scope 3 (Upstream)</w:t>
            </w:r>
          </w:p>
        </w:tc>
        <w:tc>
          <w:tcPr/>
          <w:p>
            <w:pPr>
              <w:pStyle w:val="Compact"/>
              <w:jc w:val="left"/>
            </w:pPr>
            <w:r>
              <w:t xml:space="preserve">0.16</w:t>
            </w:r>
          </w:p>
        </w:tc>
        <w:tc>
          <w:tcPr/>
          <w:p>
            <w:pPr>
              <w:pStyle w:val="Compact"/>
              <w:jc w:val="left"/>
            </w:pPr>
            <w:r>
              <w:t xml:space="preserve">0.46%</w:t>
            </w:r>
          </w:p>
        </w:tc>
      </w:tr>
      <w:tr>
        <w:tc>
          <w:tcPr/>
          <w:p>
            <w:pPr>
              <w:pStyle w:val="Compact"/>
              <w:jc w:val="left"/>
            </w:pPr>
            <w:r>
              <w:t xml:space="preserve">Transport (Outbound - Sea)</w:t>
            </w:r>
          </w:p>
        </w:tc>
        <w:tc>
          <w:tcPr/>
          <w:p>
            <w:pPr>
              <w:pStyle w:val="Compact"/>
              <w:jc w:val="left"/>
            </w:pPr>
            <w:r>
              <w:t xml:space="preserve">Scope 3 (Downstream)</w:t>
            </w:r>
          </w:p>
        </w:tc>
        <w:tc>
          <w:tcPr/>
          <w:p>
            <w:pPr>
              <w:pStyle w:val="Compact"/>
              <w:jc w:val="left"/>
            </w:pPr>
            <w:r>
              <w:t xml:space="preserve">0.12</w:t>
            </w:r>
          </w:p>
        </w:tc>
        <w:tc>
          <w:tcPr/>
          <w:p>
            <w:pPr>
              <w:pStyle w:val="Compact"/>
              <w:jc w:val="left"/>
            </w:pPr>
            <w:r>
              <w:t xml:space="preserve">0.34%</w:t>
            </w:r>
          </w:p>
        </w:tc>
      </w:tr>
      <w:tr>
        <w:tc>
          <w:tcPr/>
          <w:p>
            <w:pPr>
              <w:pStyle w:val="Compact"/>
              <w:jc w:val="left"/>
            </w:pPr>
            <w:r>
              <w:t xml:space="preserve">Transport (Last-Mile)</w:t>
            </w:r>
          </w:p>
        </w:tc>
        <w:tc>
          <w:tcPr/>
          <w:p>
            <w:pPr>
              <w:pStyle w:val="Compact"/>
              <w:jc w:val="left"/>
            </w:pPr>
            <w:r>
              <w:t xml:space="preserve">Scope 3 (Downstream)</w:t>
            </w:r>
          </w:p>
        </w:tc>
        <w:tc>
          <w:tcPr/>
          <w:p>
            <w:pPr>
              <w:pStyle w:val="Compact"/>
              <w:jc w:val="left"/>
            </w:pPr>
            <w:r>
              <w:t xml:space="preserve">0.14</w:t>
            </w:r>
          </w:p>
        </w:tc>
        <w:tc>
          <w:tcPr/>
          <w:p>
            <w:pPr>
              <w:pStyle w:val="Compact"/>
              <w:jc w:val="left"/>
            </w:pPr>
            <w:r>
              <w:t xml:space="preserve">0.42%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c>
          <w:tcPr/>
          <w:p>
            <w:pPr>
              <w:pStyle w:val="Compact"/>
              <w:jc w:val="left"/>
            </w:pPr>
            <w:r>
              <w:t xml:space="preserve">73.83%</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0.35</w:t>
            </w:r>
          </w:p>
        </w:tc>
        <w:tc>
          <w:tcPr/>
          <w:p>
            <w:pPr>
              <w:pStyle w:val="Compact"/>
              <w:jc w:val="left"/>
            </w:pPr>
            <w:r>
              <w:t xml:space="preserve">1.02%</w:t>
            </w:r>
          </w:p>
        </w:tc>
      </w:tr>
      <w:tr>
        <w:tc>
          <w:tcPr>
            <w:gridSpan w:val="2"/>
          </w:tcPr>
          <w:p>
            <w:pPr>
              <w:pStyle w:val="Compact"/>
              <w:jc w:val="left"/>
            </w:pPr>
            <w:r>
              <w:t xml:space="preserve">TOTAL PRODUCT CARBON FOOTPRINT</w:t>
            </w:r>
          </w:p>
        </w:tc>
        <w:tc>
          <w:tcPr/>
          <w:p>
            <w:pPr>
              <w:pStyle w:val="Compact"/>
              <w:jc w:val="left"/>
            </w:pPr>
            <w:r>
              <w:t xml:space="preserve">33.86</w:t>
            </w:r>
          </w:p>
        </w:tc>
        <w:tc>
          <w:tcPr/>
          <w:p>
            <w:pPr>
              <w:pStyle w:val="Compact"/>
              <w:jc w:val="left"/>
            </w:pPr>
            <w:r>
              <w:t xml:space="preserve">100.00%</w:t>
            </w:r>
          </w:p>
        </w:tc>
      </w:tr>
    </w:tbl>
    <w:p>
      <w:pPr>
        <w:pStyle w:val="BodyText"/>
      </w:pPr>
      <w:r>
        <w:rPr>
          <w:bCs/>
          <w:b/>
        </w:rPr>
        <w:t xml:space="preserve">Note on Scope 3 Coverage:</w:t>
      </w:r>
      <w:r>
        <w:t xml:space="preserve"> </w:t>
      </w:r>
      <w:r>
        <w:t xml:space="preserve">The GHG Protocol 2026 revisions propose a requirement to account for at least 95% of total required Scope 3 emissions. This analysis comprehensively covers all major and relevant Scope 3 categories including material acquisition, all transport stages, the use phase, and end-of-life treatment. By including these significant sources, this report achieves full coverage of the material Scope 3 emissions for pttokyxjyx, thereby meeting and exceeding the 95% completeness threshold for required Scope 3 reporting. The total calculated Scope 3 emissions amount to approximately 31.46 kg CO2e.</w:t>
      </w:r>
    </w:p>
    <w:p>
      <w:r>
        <w:pict>
          <v:rect style="width:0;height:1.5pt" o:hralign="center" o:hrstd="t" o:hr="t"/>
        </w:pict>
      </w:r>
    </w:p>
    <w:bookmarkEnd w:id="38"/>
    <w:bookmarkEnd w:id="39"/>
    <w:bookmarkStart w:id="43" w:name="review-report-step-5"/>
    <w:p>
      <w:pPr>
        <w:pStyle w:val="Heading2"/>
      </w:pPr>
      <w:r>
        <w:t xml:space="preserve">3. Review &amp; Report (Step 5)</w:t>
      </w:r>
    </w:p>
    <w:bookmarkStart w:id="40" w:name="hotspot-analysis"/>
    <w:p>
      <w:pPr>
        <w:pStyle w:val="Heading3"/>
      </w:pPr>
      <w:r>
        <w:t xml:space="preserve">3.1. Hotspot Analysis</w:t>
      </w:r>
    </w:p>
    <w:p>
      <w:pPr>
        <w:pStyle w:val="FirstParagraph"/>
      </w:pPr>
      <w:r>
        <w:t xml:space="preserve">The analysis clearly identifies the</w:t>
      </w:r>
      <w:r>
        <w:t xml:space="preserve"> </w:t>
      </w:r>
      <w:r>
        <w:rPr>
          <w:bCs/>
          <w:b/>
        </w:rPr>
        <w:t xml:space="preserve">Use Phase</w:t>
      </w:r>
      <w:r>
        <w:t xml:space="preserve"> </w:t>
      </w:r>
      <w:r>
        <w:t xml:space="preserve">as the most significant emission hotspot, contributing approximately 73.83% of the total PCF. This is primarily driven by the product\'s energy consumption over its assumed 5-year lifespan. Material Acquisition is the second largest contributor at 16.84%, highlighting the importance of sustainable sourcing and material selection. Manufacturing (Scope 2) and transportation, while contributing, are relatively minor compared to the use phase.</w:t>
      </w:r>
    </w:p>
    <w:bookmarkEnd w:id="40"/>
    <w:bookmarkStart w:id="41" w:name="reliability-and-limitations"/>
    <w:p>
      <w:pPr>
        <w:pStyle w:val="Heading3"/>
      </w:pPr>
      <w:r>
        <w:t xml:space="preserve">3.2. Reliability and Limitations</w:t>
      </w:r>
    </w:p>
    <w:p>
      <w:pPr>
        <w:pStyle w:val="FirstParagraph"/>
      </w:pPr>
      <w:r>
        <w:t xml:space="preserve">The reliability of this PCF analysis is high due to the use of detailed primary data for the Bill of Materials and specific energy/transport parameters. Emission factors are based on industry averages (e.g., Ecoinvent/DEFRA equivalents) suitable for a screening-level assessment. Limitations include:</w:t>
      </w:r>
    </w:p>
    <w:p>
      <w:pPr>
        <w:numPr>
          <w:ilvl w:val="0"/>
          <w:numId w:val="1013"/>
        </w:numPr>
        <w:pStyle w:val="Compact"/>
      </w:pPr>
      <w:r>
        <w:rPr>
          <w:bCs/>
          <w:b/>
        </w:rPr>
        <w:t xml:space="preserve">Assumed Emission Factors:</w:t>
      </w:r>
      <w:r>
        <w:t xml:space="preserve"> </w:t>
      </w:r>
      <w:r>
        <w:t xml:space="preserve">Generic emission factors were used where specific regional or supplier-specific data was unavailable.</w:t>
      </w:r>
    </w:p>
    <w:p>
      <w:pPr>
        <w:numPr>
          <w:ilvl w:val="0"/>
          <w:numId w:val="1013"/>
        </w:numPr>
        <w:pStyle w:val="Compact"/>
      </w:pPr>
      <w:r>
        <w:rPr>
          <w:bCs/>
          <w:b/>
        </w:rPr>
        <w:t xml:space="preserve">Placeholder Data:</w:t>
      </w:r>
      <w:r>
        <w:t xml:space="preserve"> </w:t>
      </w:r>
      <w:r>
        <w:t xml:space="preserve">Several parameters (e.g., specific transport distances, renewable energy usage, energy intensity, lifespan, energy in use, recyclability, circular programs) were based on reasonable assumptions for the placeholders (`hujigomnox`, `oqnuvxlfzj`, `itrqfyjome`, `kgggdxuktd`, `ohoyinenie`, `fvuopphghz`, `fnpoumgtgs`). Further refinement would benefit from actual operational data.</w:t>
      </w:r>
    </w:p>
    <w:p>
      <w:pPr>
        <w:numPr>
          <w:ilvl w:val="0"/>
          <w:numId w:val="1013"/>
        </w:numPr>
        <w:pStyle w:val="Compact"/>
      </w:pPr>
      <w:r>
        <w:rPr>
          <w:bCs/>
          <w:b/>
        </w:rPr>
        <w:t xml:space="preserve">System Boundary:</w:t>
      </w:r>
      <w:r>
        <w:t xml:space="preserve"> </w:t>
      </w:r>
      <w:r>
        <w:t xml:space="preserve">While expanded beyond strict factory-gate, certain indirect impacts (e.g., capital goods, business travel) might be excluded if not directly linked to the product\'s value chain under the current scope.</w:t>
      </w:r>
    </w:p>
    <w:p>
      <w:pPr>
        <w:numPr>
          <w:ilvl w:val="0"/>
          <w:numId w:val="1013"/>
        </w:numPr>
        <w:pStyle w:val="Compact"/>
      </w:pPr>
      <w:r>
        <w:rPr>
          <w:bCs/>
          <w:b/>
        </w:rPr>
        <w:t xml:space="preserve">LSR Standard:</w:t>
      </w:r>
      <w:r>
        <w:t xml:space="preserve"> </w:t>
      </w:r>
      <w:r>
        <w:t xml:space="preserve">Direct application of LSR for specific land-use changes was not performed as the product itself is not directly linked to land-intensive activities. However, the methodology acknowledges its importance, and upstream EFs are assumed to implicitly cover relevant land impacts.</w:t>
      </w:r>
    </w:p>
    <w:bookmarkEnd w:id="41"/>
    <w:bookmarkStart w:id="42" w:name="recommendations-for-emission-reduction"/>
    <w:p>
      <w:pPr>
        <w:pStyle w:val="Heading3"/>
      </w:pPr>
      <w:r>
        <w:t xml:space="preserve">3.3. Recommendations for Emission Reduction</w:t>
      </w:r>
    </w:p>
    <w:p>
      <w:pPr>
        <w:numPr>
          <w:ilvl w:val="0"/>
          <w:numId w:val="1014"/>
        </w:numPr>
        <w:pStyle w:val="Compact"/>
      </w:pPr>
      <w:r>
        <w:rPr>
          <w:bCs/>
          <w:b/>
        </w:rPr>
        <w:t xml:space="preserve">Optimize Use Phase Efficiency:</w:t>
      </w:r>
      <w:r>
        <w:t xml:space="preserve"> </w:t>
      </w:r>
      <w:r>
        <w:t xml:space="preserve">Given its dominance, efforts to reduce the product\'s energy consumption during use (e.g., through more efficient components, smart power management features, extended lifespan) will yield the most significant reductions.</w:t>
      </w:r>
    </w:p>
    <w:p>
      <w:pPr>
        <w:numPr>
          <w:ilvl w:val="0"/>
          <w:numId w:val="1014"/>
        </w:numPr>
        <w:pStyle w:val="Compact"/>
      </w:pPr>
      <w:r>
        <w:rPr>
          <w:bCs/>
          <w:b/>
        </w:rPr>
        <w:t xml:space="preserve">Sustainable Material Sourcing:</w:t>
      </w:r>
      <w:r>
        <w:t xml:space="preserve"> </w:t>
      </w:r>
      <w:r>
        <w:t xml:space="preserve">Investigate lower-carbon alternatives for Aluminium and ABS plastic, or increase recycled content beyond what\'s implicitly assumed, to reduce the material acquisition footprint.</w:t>
      </w:r>
    </w:p>
    <w:p>
      <w:pPr>
        <w:numPr>
          <w:ilvl w:val="0"/>
          <w:numId w:val="1014"/>
        </w:numPr>
        <w:pStyle w:val="Compact"/>
      </w:pPr>
      <w:r>
        <w:rPr>
          <w:bCs/>
          <w:b/>
        </w:rPr>
        <w:t xml:space="preserve">Enhance Circularity:</w:t>
      </w:r>
      <w:r>
        <w:t xml:space="preserve"> </w:t>
      </w:r>
      <w:r>
        <w:t xml:space="preserve">Strengthen and expand take-back programs and design for disassembly to improve recycling rates and foster material circularity, moving towards a more closed-loop system.</w:t>
      </w:r>
    </w:p>
    <w:p>
      <w:pPr>
        <w:numPr>
          <w:ilvl w:val="0"/>
          <w:numId w:val="1014"/>
        </w:numPr>
        <w:pStyle w:val="Compact"/>
      </w:pPr>
      <w:r>
        <w:rPr>
          <w:bCs/>
          <w:b/>
        </w:rPr>
        <w:t xml:space="preserve">Renewable Energy in Manufacturing:</w:t>
      </w:r>
      <w:r>
        <w:t xml:space="preserve"> </w:t>
      </w:r>
      <w:r>
        <w:t xml:space="preserve">Continue to increase the share of renewable energy at production facilities, potentially targeting 100% renewable energy for manufacturing operations.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pttokyxjyx</dc:title>
  <dc:creator/>
  <dc:description>Detailed Product Carbon Footprint (PCF) analysis report for pttokyxjyx by udknwomjqj, adhering to GHG Protocol and 2026 LSR Update, performed by femkwxrdwf.</dc:description>
  <cp:keywords/>
  <dcterms:created xsi:type="dcterms:W3CDTF">2026-07-15T13:37:44Z</dcterms:created>
  <dcterms:modified xsi:type="dcterms:W3CDTF">2026-07-15T13:37:44Z</dcterms:modified>
</cp:coreProperties>
</file>

<file path=docProps/custom.xml><?xml version="1.0" encoding="utf-8"?>
<Properties xmlns="http://schemas.openxmlformats.org/officeDocument/2006/custom-properties" xmlns:vt="http://schemas.openxmlformats.org/officeDocument/2006/docPropsVTypes"/>
</file>