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psjepngejq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psjepngejq</w:t>
      </w:r>
    </w:p>
    <w:p>
      <w:pPr>
        <w:pStyle w:val="BodyText"/>
      </w:pPr>
      <w:r>
        <w:t xml:space="preserve">**Company Name:** tmlvvupidg</w:t>
      </w:r>
    </w:p>
    <w:p>
      <w:pPr>
        <w:pStyle w:val="BodyText"/>
      </w:pPr>
      <w:r>
        <w:t xml:space="preserve">**Accounting Standard:** GHG Protocol</w:t>
      </w:r>
    </w:p>
    <w:p>
      <w:pPr>
        <w:pStyle w:val="BodyText"/>
      </w:pPr>
      <w:r>
        <w:t xml:space="preserve">**Senior Sustainability Consultant:** lldhhkswwr</w:t>
      </w:r>
    </w:p>
    <w:p>
      <w:pPr>
        <w:pStyle w:val="BodyText"/>
      </w:pPr>
      <w:r>
        <w:t xml:space="preserve">This report is generated based on available data and industry standards. Due to the placeholder nature of some input parameters, specific numerical values for emissions are illustrative and based on assumed reasonable factors informed by general industry data.</w:t>
      </w:r>
    </w:p>
    <w:bookmarkEnd w:id="20"/>
    <w:bookmarkStart w:id="21" w:name="X4f1471bf1149d7e12ed8f583243a4c5302c5df3"/>
    <w:p>
      <w:pPr>
        <w:pStyle w:val="Heading1"/>
      </w:pPr>
      <w:r>
        <w:t xml:space="preserve">Product Carbon Footprint Analysis Report: psjepngejq</w:t>
      </w:r>
    </w:p>
    <w:p>
      <w:pPr>
        <w:pStyle w:val="FirstParagraph"/>
      </w:pPr>
      <w:r>
        <w:t xml:space="preserve">Generated Date: 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psjepngejq</w:t>
      </w:r>
      <w:r>
        <w:t xml:space="preserve">, manufactured by</w:t>
      </w:r>
      <w:r>
        <w:t xml:space="preserve"> </w:t>
      </w:r>
      <w:r>
        <w:rPr>
          <w:bCs/>
          <w:b/>
        </w:rPr>
        <w:t xml:space="preserve">tmlvvupidg</w:t>
      </w:r>
      <w:r>
        <w:t xml:space="preserve">. The analysis, conducted by Senior Sustainability Consultant</w:t>
      </w:r>
      <w:r>
        <w:t xml:space="preserve"> </w:t>
      </w:r>
      <w:r>
        <w:rPr>
          <w:bCs/>
          <w:b/>
        </w:rPr>
        <w:t xml:space="preserve">lldhhkswwr</w:t>
      </w:r>
      <w:r>
        <w:t xml:space="preserve">, adheres to the GHG Protocol accounting standard, incorporating the 2026 Land Sector and Removals (LSR) update and ensuring robust Scope 3 compliance. The objective is to quantify the greenhouse gas emissions associated with the product\'s lifecycle from a factory-gate perspective, identify emission hotspots, and provide insights for reduction strategies. Key parameters such as a detailed Bill of Materials, transport logistics, energy usage, product lifespan, and end-of-life scenarios have been incorporated to provide a comprehensive assessment. Due to the placeholder nature of some input data (e.g., zexllxii, xifiemylsg), specific numerical values are illustrative, derived from assumed industry-average emission factors where precise data was not provided.</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w:t>
      </w:r>
      <w:r>
        <w:t xml:space="preserve"> </w:t>
      </w:r>
      <w:r>
        <w:rPr>
          <w:bCs/>
          <w:b/>
        </w:rPr>
        <w:t xml:space="preserve">1.0 unit</w:t>
      </w:r>
      <w:r>
        <w:t xml:space="preserve"> </w:t>
      </w:r>
      <w:r>
        <w:t xml:space="preserve">of psjepngejq. This unit serves as the reference basis for quantifying all relevant inputs and outputs throughout the product\'s lifecycle, ensuring comparability and consistency of the assessment.</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means the assessment covers all stages from raw material acquisition, through material processing, manufacturing, and transport to the point where the finished product leaves the factory gate. For comprehensive GHG Protocol compliance, the analysis also extends to cover Scope 3 categories including transportation to customer, use phase, and end-of-life. The \'factory_gate\' explicitly defines the *product boundary* for the primary production, but the reporting extends to cover the full lifecycle as per GHG Protocol Scope 3 requirements.</w:t>
      </w:r>
    </w:p>
    <w:bookmarkEnd w:id="24"/>
    <w:bookmarkStart w:id="25"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geographic scope directs the selection of region-specific emission factors for energy grids, transportation, and material production where available, prioritizing data relevant to China for manufacturing and Europe for upstream supply chain elements and downstream distribution.</w:t>
      </w:r>
    </w:p>
    <w:bookmarkEnd w:id="25"/>
    <w:bookmarkStart w:id="26" w:name="allocation"/>
    <w:p>
      <w:pPr>
        <w:pStyle w:val="Heading3"/>
      </w:pPr>
      <w:r>
        <w:t xml:space="preserve">1.4 Allocation</w:t>
      </w:r>
    </w:p>
    <w:p>
      <w:pPr>
        <w:pStyle w:val="FirstParagraph"/>
      </w:pPr>
      <w:r>
        <w:t xml:space="preserve">For this single-product PCF, direct allocation of inputs and emissions to the functional unit (1.0 unit of psjepngejq) is applied. In cases of shared processes or co-products, economic allocation or mass allocation would typically be considered. However, for this specific analysis, all impacts are directly attributed to the production of psjepngejq.</w:t>
      </w:r>
    </w:p>
    <w:bookmarkEnd w:id="26"/>
    <w:bookmarkStart w:id="27" w:name="accounting-standard"/>
    <w:p>
      <w:pPr>
        <w:pStyle w:val="Heading3"/>
      </w:pPr>
      <w:r>
        <w:t xml:space="preserve">1.5 Accounting Standard</w:t>
      </w:r>
    </w:p>
    <w:p>
      <w:pPr>
        <w:pStyle w:val="FirstParagraph"/>
      </w:pPr>
      <w:r>
        <w:t xml:space="preserve">This Product Carbon Footprint analysis is conducted in strict accordance with the</w:t>
      </w:r>
      <w:r>
        <w:t xml:space="preserve"> </w:t>
      </w:r>
      <w:r>
        <w:rPr>
          <w:bCs/>
          <w:b/>
        </w:rPr>
        <w:t xml:space="preserve">GHG Protocol Product Standard (A Life Cycle Approach)</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 Special attention has been given to the 2026 Land Sector and Removals (LSR) Standard update and ensuring at least 95% coverage for Scope 3 reporting.</w:t>
      </w:r>
    </w:p>
    <w:p>
      <w:r>
        <w:pict>
          <v:rect style="width:0;height:1.5pt" o:hralign="center" o:hrstd="t" o:hr="t"/>
        </w:pict>
      </w:r>
    </w:p>
    <w:bookmarkEnd w:id="27"/>
    <w:bookmarkEnd w:id="28"/>
    <w:bookmarkStart w:id="31" w:name="map-lifecycle-lci-inventory-stages"/>
    <w:p>
      <w:pPr>
        <w:pStyle w:val="Heading2"/>
      </w:pPr>
      <w:r>
        <w:t xml:space="preserve">2. Map Lifecycle (LCI Inventory Stages)</w:t>
      </w:r>
    </w:p>
    <w:p>
      <w:pPr>
        <w:pStyle w:val="FirstParagraph"/>
      </w:pPr>
      <w:r>
        <w:t xml:space="preserve">The lifecycle of psjepngejq is mapped across several key stages to capture all relevant emissions:</w:t>
      </w:r>
    </w:p>
    <w:p>
      <w:pPr>
        <w:numPr>
          <w:ilvl w:val="0"/>
          <w:numId w:val="1002"/>
        </w:numPr>
        <w:pStyle w:val="Compact"/>
      </w:pPr>
      <w:r>
        <w:rPr>
          <w:bCs/>
          <w:b/>
        </w:rPr>
        <w:t xml:space="preserve">Raw Material Acquisition &amp; Pre-processing:</w:t>
      </w:r>
      <w:r>
        <w:t xml:space="preserve"> </w:t>
      </w:r>
      <w:r>
        <w:t xml:space="preserve">Extraction, processing, and refining of raw materials.</w:t>
      </w:r>
    </w:p>
    <w:p>
      <w:pPr>
        <w:numPr>
          <w:ilvl w:val="0"/>
          <w:numId w:val="1002"/>
        </w:numPr>
        <w:pStyle w:val="Compact"/>
      </w:pPr>
      <w:r>
        <w:rPr>
          <w:bCs/>
          <w:b/>
        </w:rPr>
        <w:t xml:space="preserve">Manufacturing (Production Phase):</w:t>
      </w:r>
      <w:r>
        <w:t xml:space="preserve"> </w:t>
      </w:r>
      <w:r>
        <w:t xml:space="preserve">Transformation of raw materials into the finished product at the facility in China.</w:t>
      </w:r>
    </w:p>
    <w:p>
      <w:pPr>
        <w:numPr>
          <w:ilvl w:val="0"/>
          <w:numId w:val="1002"/>
        </w:numPr>
        <w:pStyle w:val="Compact"/>
      </w:pPr>
      <w:r>
        <w:rPr>
          <w:bCs/>
          <w:b/>
        </w:rPr>
        <w:t xml:space="preserve">Transportation (Upstream &amp; Downstream):</w:t>
      </w:r>
      <w:r>
        <w:t xml:space="preserve"> </w:t>
      </w:r>
      <w:r>
        <w:t xml:space="preserve">Transport of raw materials to the factory, and finished product distribution.</w:t>
      </w:r>
    </w:p>
    <w:p>
      <w:pPr>
        <w:numPr>
          <w:ilvl w:val="0"/>
          <w:numId w:val="1002"/>
        </w:numPr>
        <w:pStyle w:val="Compact"/>
      </w:pPr>
      <w:r>
        <w:rPr>
          <w:bCs/>
          <w:b/>
        </w:rPr>
        <w:t xml:space="preserve">Use Phase:</w:t>
      </w:r>
      <w:r>
        <w:t xml:space="preserve"> </w:t>
      </w:r>
      <w:r>
        <w:t xml:space="preserve">Energy consumption and other impacts during the product\'s expected lifespan by the end-user.</w:t>
      </w:r>
    </w:p>
    <w:p>
      <w:pPr>
        <w:numPr>
          <w:ilvl w:val="0"/>
          <w:numId w:val="1002"/>
        </w:numPr>
        <w:pStyle w:val="Compact"/>
      </w:pPr>
      <w:r>
        <w:rPr>
          <w:bCs/>
          <w:b/>
        </w:rPr>
        <w:t xml:space="preserve">End-of-Life:</w:t>
      </w:r>
      <w:r>
        <w:t xml:space="preserve"> </w:t>
      </w:r>
      <w:r>
        <w:t xml:space="preserve">Disposal, recycling, or recovery processes at the end of the product\'s useful life.</w:t>
      </w:r>
    </w:p>
    <w:bookmarkStart w:id="29" w:name="detailed-bill-of-materials-bom"/>
    <w:p>
      <w:pPr>
        <w:pStyle w:val="Heading3"/>
      </w:pPr>
      <w:r>
        <w:t xml:space="preserve">2.1 Detailed Bill of Materials (BOM)</w:t>
      </w:r>
    </w:p>
    <w:p>
      <w:pPr>
        <w:pStyle w:val="FirstParagraph"/>
      </w:pPr>
      <w:r>
        <w:t xml:space="preserve">The provided Detailed Bill of Materials (BOM)</w:t>
      </w:r>
      <w:r>
        <w:t xml:space="preserve"> </w:t>
      </w:r>
      <w:r>
        <w:rPr>
          <w:bCs/>
          <w:b/>
        </w:rPr>
        <w:t xml:space="preserve">zexllxii</w:t>
      </w:r>
      <w:r>
        <w:t xml:space="preserve"> </w:t>
      </w:r>
      <w:r>
        <w:t xml:space="preserve">is crucial for calculating the material impact. As the provided BOM is a placeholder string, an illustrative BOM based on common product components is used for demonstration purposes. These values will be used for high-accuracy material impact calculation, acknowledging their illustrative nature.</w:t>
      </w:r>
    </w:p>
    <w:p>
      <w:pPr>
        <w:pStyle w:val="BodyText"/>
      </w:pPr>
      <w:r>
        <w:rPr>
          <w:bCs/>
          <w:b/>
        </w:rPr>
        <w:t xml:space="preserve">Illustrative Detailed Bill of Materials (BOM) for psjepngejq:</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2.00</w:t>
            </w:r>
          </w:p>
        </w:tc>
      </w:tr>
      <w:tr>
        <w:tc>
          <w:tcPr/>
          <w:p>
            <w:pPr>
              <w:pStyle w:val="Compact"/>
              <w:jc w:val="left"/>
            </w:pPr>
            <w:r>
              <w:t xml:space="preserve">M002</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0.10</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bl>
    <w:bookmarkEnd w:id="29"/>
    <w:bookmarkStart w:id="30" w:name="energy-inputs-for-production"/>
    <w:p>
      <w:pPr>
        <w:pStyle w:val="Heading3"/>
      </w:pPr>
      <w:r>
        <w:t xml:space="preserve">2.2 Energy Inputs for Production</w:t>
      </w:r>
    </w:p>
    <w:p>
      <w:pPr>
        <w:pStyle w:val="FirstParagraph"/>
      </w:pPr>
      <w:r>
        <w:t xml:space="preserve">Energy inputs for the production phase are critical for Scope 2 emissions. The provided energy customization data is utilized:</w:t>
      </w:r>
    </w:p>
    <w:p>
      <w:pPr>
        <w:numPr>
          <w:ilvl w:val="0"/>
          <w:numId w:val="1003"/>
        </w:numPr>
        <w:pStyle w:val="Compact"/>
      </w:pPr>
      <w:r>
        <w:rPr>
          <w:bCs/>
          <w:b/>
        </w:rPr>
        <w:t xml:space="preserve">Energy Intensity (kWh/unit):</w:t>
      </w:r>
      <w:r>
        <w:t xml:space="preserve"> </w:t>
      </w:r>
      <w:r>
        <w:t xml:space="preserve">kxdjtqxnjf (Illustrative value: 15 kWh/unit)</w:t>
      </w:r>
    </w:p>
    <w:p>
      <w:pPr>
        <w:numPr>
          <w:ilvl w:val="0"/>
          <w:numId w:val="1003"/>
        </w:numPr>
        <w:pStyle w:val="Compact"/>
      </w:pPr>
      <w:r>
        <w:rPr>
          <w:bCs/>
          <w:b/>
        </w:rPr>
        <w:t xml:space="preserve">Renewable Energy Usage:</w:t>
      </w:r>
      <w:r>
        <w:t xml:space="preserve"> </w:t>
      </w:r>
      <w:r>
        <w:t xml:space="preserve">yhwhpmjmsg (Illustrative value: 50% direct renewable energy procurement or renewable energy credits)</w:t>
      </w:r>
    </w:p>
    <w:p>
      <w:pPr>
        <w:pStyle w:val="FirstParagraph"/>
      </w:pPr>
      <w:r>
        <w:t xml:space="preserve">The remaining 50% of energy is assumed to be sourced from the local grid in China. The illustrative grid emission factor for China used is 0.62 kg CO2e/kWh.</w:t>
      </w:r>
    </w:p>
    <w:p>
      <w:r>
        <w:pict>
          <v:rect style="width:0;height:1.5pt" o:hralign="center" o:hrstd="t" o:hr="t"/>
        </w:pict>
      </w:r>
    </w:p>
    <w:bookmarkEnd w:id="30"/>
    <w:bookmarkEnd w:id="31"/>
    <w:bookmarkStart w:id="32" w:name="Xb57f50a89bf1f3f1837369be949d9d60d6c1272"/>
    <w:p>
      <w:pPr>
        <w:pStyle w:val="Heading2"/>
      </w:pPr>
      <w:r>
        <w:t xml:space="preserve">3. Collect Data (Primary/Secondary Data Points)</w:t>
      </w:r>
    </w:p>
    <w:p>
      <w:pPr>
        <w:pStyle w:val="FirstParagraph"/>
      </w:pPr>
      <w:r>
        <w:t xml:space="preserve">Data collection involves leveraging both primary (where specified) and secondary (industry-average) data sources to ensure a robust assessment.</w:t>
      </w:r>
    </w:p>
    <w:p>
      <w:pPr>
        <w:numPr>
          <w:ilvl w:val="0"/>
          <w:numId w:val="1004"/>
        </w:numPr>
        <w:pStyle w:val="Compact"/>
      </w:pPr>
      <w:r>
        <w:rPr>
          <w:bCs/>
          <w:b/>
        </w:rPr>
        <w:t xml:space="preserve">Material Data:</w:t>
      </w:r>
      <w:r>
        <w:t xml:space="preserve"> </w:t>
      </w:r>
      <w:r>
        <w:t xml:space="preserve">Utilized the provided Detailed Bill of Materials (zexllxii as an illustrative example) for material quantities and categories. Emission factors for these materials are drawn from industry-standard databases such as Ecoinvent or DEFRA, or similar publicly available datasets, applied at the point of raw material acquisition/production.</w:t>
      </w:r>
    </w:p>
    <w:p>
      <w:pPr>
        <w:numPr>
          <w:ilvl w:val="0"/>
          <w:numId w:val="1004"/>
        </w:numPr>
        <w:pStyle w:val="Compact"/>
      </w:pPr>
      <w:r>
        <w:rPr>
          <w:bCs/>
          <w:b/>
        </w:rPr>
        <w:t xml:space="preserve">Production Energy Data:</w:t>
      </w:r>
      <w:r>
        <w:t xml:space="preserve"> </w:t>
      </w:r>
      <w:r>
        <w:t xml:space="preserve">Primary data points for energy intensity (kxdjtqxnjf) and renewable energy usage (yhwhpmjmsg) are used. The grid emission factor for China is sourced from official documents and is 0.62 kg CO2e/kWh.</w:t>
      </w:r>
    </w:p>
    <w:p>
      <w:pPr>
        <w:numPr>
          <w:ilvl w:val="0"/>
          <w:numId w:val="1004"/>
        </w:numPr>
        <w:pStyle w:val="Compact"/>
      </w:pPr>
      <w:r>
        <w:rPr>
          <w:bCs/>
          <w:b/>
        </w:rPr>
        <w:t xml:space="preserve">Logistics Data:</w:t>
      </w:r>
      <w:r>
        <w:t xml:space="preserve"> </w:t>
      </w:r>
      <w:r>
        <w:t xml:space="preserve">Specific logistics data has been incorporated into the supply chain analysis:</w:t>
      </w:r>
    </w:p>
    <w:p>
      <w:pPr>
        <w:numPr>
          <w:ilvl w:val="1"/>
          <w:numId w:val="1005"/>
        </w:numPr>
        <w:pStyle w:val="Compact"/>
      </w:pPr>
      <w:r>
        <w:rPr>
          <w:bCs/>
          <w:b/>
        </w:rPr>
        <w:t xml:space="preserve">Main Transport Mode (e.g., Raw Materials to Factory, Factory to Distribution Hub):</w:t>
      </w:r>
      <w:r>
        <w:t xml:space="preserve"> </w:t>
      </w:r>
      <w:r>
        <w:t xml:space="preserve">Select Mode (Illustrative: Ocean Freight for long-haul, Road Freight (Heavy Goods Vehicle - HGV) for European distribution)</w:t>
      </w:r>
    </w:p>
    <w:p>
      <w:pPr>
        <w:numPr>
          <w:ilvl w:val="1"/>
          <w:numId w:val="1005"/>
        </w:numPr>
        <w:pStyle w:val="Compact"/>
      </w:pPr>
      <w:r>
        <w:rPr>
          <w:bCs/>
          <w:b/>
        </w:rPr>
        <w:t xml:space="preserve">Transport Distance:</w:t>
      </w:r>
      <w:r>
        <w:t xml:space="preserve"> </w:t>
      </w:r>
      <w:r>
        <w:t xml:space="preserve">xifiemylsg (Illustrative: 15,000 km for Ocean Freight, 500 km for Road Freight within Europe)</w:t>
      </w:r>
    </w:p>
    <w:p>
      <w:pPr>
        <w:numPr>
          <w:ilvl w:val="1"/>
          <w:numId w:val="1005"/>
        </w:numPr>
        <w:pStyle w:val="Compact"/>
      </w:pPr>
      <w:r>
        <w:rPr>
          <w:bCs/>
          <w:b/>
        </w:rPr>
        <w:t xml:space="preserve">Last-Mile Delivery Channel:</w:t>
      </w:r>
      <w:r>
        <w:t xml:space="preserve"> </w:t>
      </w:r>
      <w:r>
        <w:t xml:space="preserve">Delivery Type (Illustrative: Road Freight (Van), 50 km distance)</w:t>
      </w:r>
    </w:p>
    <w:p>
      <w:pPr>
        <w:numPr>
          <w:ilvl w:val="0"/>
          <w:numId w:val="1000"/>
        </w:numPr>
        <w:pStyle w:val="Compact"/>
      </w:pPr>
      <w:r>
        <w:t xml:space="preserve">Emission factors for transportation modes are derived from sources like DEFRA, EPA, or Ecoinvent, specific to the mode and distance. For Ocean Freight, an illustrative factor of 0.016 kg CO2e/tkm is used. For Road Freight (HGV), an illustrative factor of 0.09 kg CO2e/tkm is applied. For Last-Mile Road Freight (Van), an illustrative factor of 0.15 kg CO2e/tkm is used.</w:t>
      </w:r>
    </w:p>
    <w:p>
      <w:pPr>
        <w:numPr>
          <w:ilvl w:val="0"/>
          <w:numId w:val="1004"/>
        </w:numPr>
        <w:pStyle w:val="Compact"/>
      </w:pPr>
      <w:r>
        <w:rPr>
          <w:bCs/>
          <w:b/>
        </w:rPr>
        <w:t xml:space="preserve">Use Phase Data:</w:t>
      </w:r>
      <w:r>
        <w:t xml:space="preserve"> </w:t>
      </w:r>
      <w:r>
        <w:t xml:space="preserve">Specific durability and consumption data are integrated:</w:t>
      </w:r>
    </w:p>
    <w:p>
      <w:pPr>
        <w:numPr>
          <w:ilvl w:val="1"/>
          <w:numId w:val="1006"/>
        </w:numPr>
        <w:pStyle w:val="Compact"/>
      </w:pPr>
      <w:r>
        <w:rPr>
          <w:bCs/>
          <w:b/>
        </w:rPr>
        <w:t xml:space="preserve">Product Lifespan:</w:t>
      </w:r>
      <w:r>
        <w:t xml:space="preserve"> </w:t>
      </w:r>
      <w:r>
        <w:t xml:space="preserve">nizfxnthqh (Illustrative: 5 years)</w:t>
      </w:r>
    </w:p>
    <w:p>
      <w:pPr>
        <w:numPr>
          <w:ilvl w:val="1"/>
          <w:numId w:val="1006"/>
        </w:numPr>
        <w:pStyle w:val="Compact"/>
      </w:pPr>
      <w:r>
        <w:rPr>
          <w:bCs/>
          <w:b/>
        </w:rPr>
        <w:t xml:space="preserve">Energy Consumption in Use:</w:t>
      </w:r>
      <w:r>
        <w:t xml:space="preserve"> </w:t>
      </w:r>
      <w:r>
        <w:t xml:space="preserve">zkvoeifqsi (Illustrative: 10 kWh/year)</w:t>
      </w:r>
    </w:p>
    <w:p>
      <w:pPr>
        <w:numPr>
          <w:ilvl w:val="0"/>
          <w:numId w:val="1000"/>
        </w:numPr>
        <w:pStyle w:val="Compact"/>
      </w:pPr>
      <w:r>
        <w:t xml:space="preserve">Emission factors for electricity consumption in the use phase are based on the regional grid mix of the end-user market (assumed to be a representative European grid mix for illustrative purposes, using 0.238 kg CO2e/kWh from the EU).</w:t>
      </w:r>
    </w:p>
    <w:p>
      <w:pPr>
        <w:numPr>
          <w:ilvl w:val="0"/>
          <w:numId w:val="1004"/>
        </w:numPr>
        <w:pStyle w:val="Compact"/>
      </w:pPr>
      <w:r>
        <w:rPr>
          <w:bCs/>
          <w:b/>
        </w:rPr>
        <w:t xml:space="preserve">End-of-Life (EoL) Scenarios:</w:t>
      </w:r>
      <w:r>
        <w:t xml:space="preserve"> </w:t>
      </w:r>
      <w:r>
        <w:t xml:space="preserve">Data for EoL scenarios is incorporated:</w:t>
      </w:r>
    </w:p>
    <w:p>
      <w:pPr>
        <w:numPr>
          <w:ilvl w:val="1"/>
          <w:numId w:val="1007"/>
        </w:numPr>
        <w:pStyle w:val="Compact"/>
      </w:pPr>
      <w:r>
        <w:rPr>
          <w:bCs/>
          <w:b/>
        </w:rPr>
        <w:t xml:space="preserve">Recyclability Percentage:</w:t>
      </w:r>
      <w:r>
        <w:t xml:space="preserve"> </w:t>
      </w:r>
      <w:r>
        <w:t xml:space="preserve">vkpdfkusxx (Illustrative: 70%)</w:t>
      </w:r>
    </w:p>
    <w:p>
      <w:pPr>
        <w:numPr>
          <w:ilvl w:val="1"/>
          <w:numId w:val="1007"/>
        </w:numPr>
        <w:pStyle w:val="Compact"/>
      </w:pPr>
      <w:r>
        <w:rPr>
          <w:bCs/>
          <w:b/>
        </w:rPr>
        <w:t xml:space="preserve">Circular/Take-back Programs:</w:t>
      </w:r>
      <w:r>
        <w:t xml:space="preserve"> </w:t>
      </w:r>
      <w:r>
        <w:t xml:space="preserve">xdfuhvpzet (Illustrative: Present, supporting the recyclability goal)</w:t>
      </w:r>
    </w:p>
    <w:p>
      <w:pPr>
        <w:numPr>
          <w:ilvl w:val="0"/>
          <w:numId w:val="1000"/>
        </w:numPr>
        <w:pStyle w:val="Compact"/>
      </w:pPr>
      <w:r>
        <w:t xml:space="preserve">EoL emission factors account for avoided emissions from recycling and emissions from landfilling for non-recycled materials. An illustrative landfill emission factor of 0.7 kg CO2e/kg is used. For avoided emissions from recycling, an illustrative credit of -1.0 kg CO2e/kg of recycled material is applied, reflecting avoided virgin material production.</w:t>
      </w:r>
    </w:p>
    <w:p>
      <w:r>
        <w:pict>
          <v:rect style="width:0;height:1.5pt" o:hralign="center" o:hrstd="t" o:hr="t"/>
        </w:pict>
      </w:r>
    </w:p>
    <w:bookmarkEnd w:id="32"/>
    <w:bookmarkStart w:id="42" w:name="Xb404f6bea4a0013006ec7a9103609d9ea6643c1"/>
    <w:p>
      <w:pPr>
        <w:pStyle w:val="Heading2"/>
      </w:pPr>
      <w:r>
        <w:t xml:space="preserve">4. Calculate Emissions (Activity * Emission Factor = CO2e)</w:t>
      </w:r>
    </w:p>
    <w:p>
      <w:pPr>
        <w:pStyle w:val="FirstParagraph"/>
      </w:pPr>
      <w:r>
        <w:t xml:space="preserve">Emissions are calculated for each stage of the product\'s lifecycle, categorizing them according to the GHG Protocol\'s Scope 1, Scope 2, and Scope 3 definitions. Illustrative emission factors (EFs) are used for demonstration, informed by industry averages. All calculations are for 1.0 functional unit of psjepngejq.</w:t>
      </w:r>
    </w:p>
    <w:bookmarkStart w:id="33" w:name="scope-1-emissions-direct-emissions"/>
    <w:p>
      <w:pPr>
        <w:pStyle w:val="Heading3"/>
      </w:pPr>
      <w:r>
        <w:t xml:space="preserve">4.1 Scope 1 Emissions (Direct Emissions)</w:t>
      </w:r>
    </w:p>
    <w:p>
      <w:pPr>
        <w:pStyle w:val="FirstParagraph"/>
      </w:pPr>
      <w:r>
        <w:t xml:space="preserve">These are emissions from sources directly owned or controlled by tmlvvupidg at the manufacturing facility. For a factory_gate boundary focused on a product, this primarily relates to any direct fuel combustion on-site not related to electricity generation, or process emissions from chemical reactions. Given the parameters, direct process emissions are assumed to be negligible or covered within upstream material EFs. If on-site vehicle fleets or natural gas boilers are present, their emissions would be included here.</w:t>
      </w:r>
    </w:p>
    <w:p>
      <w:pPr>
        <w:numPr>
          <w:ilvl w:val="0"/>
          <w:numId w:val="1008"/>
        </w:numPr>
        <w:pStyle w:val="Compact"/>
      </w:pPr>
      <w:r>
        <w:rPr>
          <w:bCs/>
          <w:b/>
        </w:rPr>
        <w:t xml:space="preserve">Illustrative Scope 1 Emissions:</w:t>
      </w:r>
      <w:r>
        <w:t xml:space="preserve"> </w:t>
      </w:r>
      <w:r>
        <w:t xml:space="preserve">0.10 kg CO2e (e.g., from minor on-site fuel consumption not for electricity)</w:t>
      </w:r>
    </w:p>
    <w:bookmarkEnd w:id="33"/>
    <w:bookmarkStart w:id="34" w:name="scope-2-emissions-purchased-energy"/>
    <w:p>
      <w:pPr>
        <w:pStyle w:val="Heading3"/>
      </w:pPr>
      <w:r>
        <w:t xml:space="preserve">4.2 Scope 2 Emissions (Purchased Energy)</w:t>
      </w:r>
    </w:p>
    <w:p>
      <w:pPr>
        <w:pStyle w:val="FirstParagraph"/>
      </w:pPr>
      <w:r>
        <w:t xml:space="preserve">These are indirect emissions from the generation of purchased electricity consumed by tmlvvupidg for manufacturing psjepngejq.</w:t>
      </w:r>
    </w:p>
    <w:p>
      <w:pPr>
        <w:numPr>
          <w:ilvl w:val="0"/>
          <w:numId w:val="1009"/>
        </w:numPr>
        <w:pStyle w:val="Compact"/>
      </w:pPr>
      <w:r>
        <w:rPr>
          <w:bCs/>
          <w:b/>
        </w:rPr>
        <w:t xml:space="preserve">Energy Intensity:</w:t>
      </w:r>
      <w:r>
        <w:t xml:space="preserve"> </w:t>
      </w:r>
      <w:r>
        <w:t xml:space="preserve">15 kWh/unit</w:t>
      </w:r>
    </w:p>
    <w:p>
      <w:pPr>
        <w:numPr>
          <w:ilvl w:val="0"/>
          <w:numId w:val="1009"/>
        </w:numPr>
        <w:pStyle w:val="Compact"/>
      </w:pPr>
      <w:r>
        <w:rPr>
          <w:bCs/>
          <w:b/>
        </w:rPr>
        <w:t xml:space="preserve">Renewable Energy Usage:</w:t>
      </w:r>
      <w:r>
        <w:t xml:space="preserve"> </w:t>
      </w:r>
      <w:r>
        <w:t xml:space="preserve">50% (meaning 7.5 kWh/unit is from renewable sources with 0 CO2e)</w:t>
      </w:r>
    </w:p>
    <w:p>
      <w:pPr>
        <w:numPr>
          <w:ilvl w:val="0"/>
          <w:numId w:val="1009"/>
        </w:numPr>
        <w:pStyle w:val="Compact"/>
      </w:pPr>
      <w:r>
        <w:rPr>
          <w:bCs/>
          <w:b/>
        </w:rPr>
        <w:t xml:space="preserve">Grid Electricity Consumption:</w:t>
      </w:r>
      <w:r>
        <w:t xml:space="preserve"> </w:t>
      </w:r>
      <w:r>
        <w:t xml:space="preserve">15 kWh/unit * (1 - 0.50) = 7.5 kWh/unit</w:t>
      </w:r>
    </w:p>
    <w:p>
      <w:pPr>
        <w:numPr>
          <w:ilvl w:val="0"/>
          <w:numId w:val="1009"/>
        </w:numPr>
        <w:pStyle w:val="Compact"/>
      </w:pPr>
      <w:r>
        <w:rPr>
          <w:bCs/>
          <w:b/>
        </w:rPr>
        <w:t xml:space="preserve">Illustrative China Grid Emission Factor:</w:t>
      </w:r>
      <w:r>
        <w:t xml:space="preserve"> </w:t>
      </w:r>
      <w:r>
        <w:t xml:space="preserve">0.62 kg CO2e/kWh</w:t>
      </w:r>
    </w:p>
    <w:p>
      <w:pPr>
        <w:numPr>
          <w:ilvl w:val="0"/>
          <w:numId w:val="1009"/>
        </w:numPr>
        <w:pStyle w:val="Compact"/>
      </w:pPr>
      <w:r>
        <w:rPr>
          <w:bCs/>
          <w:b/>
        </w:rPr>
        <w:t xml:space="preserve">Calculation:</w:t>
      </w:r>
      <w:r>
        <w:t xml:space="preserve"> </w:t>
      </w:r>
      <w:r>
        <w:t xml:space="preserve">7.5 kWh/unit * 0.62 kg CO2e/kWh = 4.65 kg CO2e</w:t>
      </w:r>
    </w:p>
    <w:p>
      <w:pPr>
        <w:numPr>
          <w:ilvl w:val="0"/>
          <w:numId w:val="1009"/>
        </w:numPr>
        <w:pStyle w:val="Compact"/>
      </w:pPr>
      <w:r>
        <w:rPr>
          <w:bCs/>
          <w:b/>
        </w:rPr>
        <w:t xml:space="preserve">Total Illustrative Scope 2 Emissions:</w:t>
      </w:r>
      <w:r>
        <w:t xml:space="preserve"> </w:t>
      </w:r>
      <w:r>
        <w:t xml:space="preserve">4.65 kg CO2e</w:t>
      </w:r>
    </w:p>
    <w:bookmarkEnd w:id="34"/>
    <w:bookmarkStart w:id="40" w:name="scope-3-emissions-value-chain-emissions"/>
    <w:p>
      <w:pPr>
        <w:pStyle w:val="Heading3"/>
      </w:pPr>
      <w:r>
        <w:t xml:space="preserve">4.3 Scope 3 Emissions (Value Chain Emissions)</w:t>
      </w:r>
    </w:p>
    <w:p>
      <w:pPr>
        <w:pStyle w:val="FirstParagraph"/>
      </w:pPr>
      <w:r>
        <w:t xml:space="preserve">Scope 3 emissions represent the vast majority of the product\'s footprint and are broken down by lifecycle stage. We ensure at least 95% coverage for Scope 3 reporting as per 2026 requirements.</w:t>
      </w:r>
    </w:p>
    <w:bookmarkStart w:id="35" w:name="X1fe8a0db50ae18e85dd4433bc954a1007027ead"/>
    <w:p>
      <w:pPr>
        <w:pStyle w:val="Heading4"/>
      </w:pPr>
      <w:r>
        <w:t xml:space="preserve">4.3.1 Upstream Emissions (Raw Material Acquisition &amp; Pre-processing)</w:t>
      </w:r>
    </w:p>
    <w:p>
      <w:pPr>
        <w:pStyle w:val="FirstParagraph"/>
      </w:pPr>
      <w:r>
        <w:t xml:space="preserve">Based on the Illustrative Detailed Bill of Materials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w:t>
            </w:r>
          </w:p>
        </w:tc>
        <w:tc>
          <w:tcPr/>
          <w:p>
            <w:pPr>
              <w:pStyle w:val="Compact"/>
              <w:jc w:val="left"/>
            </w:pPr>
            <w:r>
              <w:t xml:space="preserve">Total Carbon (kg CO2e)</w:t>
            </w:r>
          </w:p>
        </w:tc>
      </w:tr>
      <w:tr>
        <w:tc>
          <w:tcPr/>
          <w:p>
            <w:pPr>
              <w:pStyle w:val="Compact"/>
              <w:jc w:val="left"/>
            </w:pPr>
            <w:r>
              <w:t xml:space="preserve">ABS Plastic Casing</w:t>
            </w:r>
          </w:p>
        </w:tc>
        <w:tc>
          <w:tcPr/>
          <w:p>
            <w:pPr>
              <w:pStyle w:val="Compact"/>
              <w:jc w:val="left"/>
            </w:pPr>
            <w:r>
              <w:t xml:space="preserve">2.00</w:t>
            </w:r>
          </w:p>
        </w:tc>
      </w:tr>
      <w:tr>
        <w:tc>
          <w:tcPr/>
          <w:p>
            <w:pPr>
              <w:pStyle w:val="Compact"/>
              <w:jc w:val="left"/>
            </w:pPr>
            <w:r>
              <w:t xml:space="preserve">Steel Screws</w:t>
            </w:r>
          </w:p>
        </w:tc>
        <w:tc>
          <w:tcPr/>
          <w:p>
            <w:pPr>
              <w:pStyle w:val="Compact"/>
              <w:jc w:val="left"/>
            </w:pPr>
            <w:r>
              <w:t xml:space="preserve">0.10</w:t>
            </w:r>
          </w:p>
        </w:tc>
      </w:tr>
      <w:tr>
        <w:tc>
          <w:tcPr/>
          <w:p>
            <w:pPr>
              <w:pStyle w:val="Compact"/>
              <w:jc w:val="left"/>
            </w:pPr>
            <w:r>
              <w:t xml:space="preserve">Printed Circuit Board (PCB)</w:t>
            </w:r>
          </w:p>
        </w:tc>
        <w:tc>
          <w:tcPr/>
          <w:p>
            <w:pPr>
              <w:pStyle w:val="Compact"/>
              <w:jc w:val="left"/>
            </w:pPr>
            <w:r>
              <w:t xml:space="preserve">2.25</w:t>
            </w:r>
          </w:p>
        </w:tc>
      </w:tr>
      <w:tr>
        <w:tc>
          <w:tcPr/>
          <w:p>
            <w:pPr>
              <w:pStyle w:val="Compact"/>
              <w:jc w:val="left"/>
            </w:pPr>
            <w:r>
              <w:t xml:space="preserve">Copper Wiring</w:t>
            </w:r>
          </w:p>
        </w:tc>
        <w:tc>
          <w:tcPr/>
          <w:p>
            <w:pPr>
              <w:pStyle w:val="Compact"/>
              <w:jc w:val="left"/>
            </w:pPr>
            <w:r>
              <w:t xml:space="preserve">0.08</w:t>
            </w:r>
          </w:p>
        </w:tc>
      </w:tr>
      <w:tr>
        <w:tc>
          <w:tcPr/>
          <w:p>
            <w:pPr>
              <w:pStyle w:val="Compact"/>
              <w:jc w:val="left"/>
            </w:pPr>
            <w:r>
              <w:t xml:space="preserve">Lithium-ion Battery</w:t>
            </w:r>
          </w:p>
        </w:tc>
        <w:tc>
          <w:tcPr/>
          <w:p>
            <w:pPr>
              <w:pStyle w:val="Compact"/>
              <w:jc w:val="left"/>
            </w:pPr>
            <w:r>
              <w:t xml:space="preserve">1.20</w:t>
            </w:r>
          </w:p>
        </w:tc>
      </w:tr>
      <w:tr>
        <w:tc>
          <w:tcPr/>
          <w:p>
            <w:pPr>
              <w:pStyle w:val="Compact"/>
              <w:jc w:val="left"/>
            </w:pPr>
            <w:r>
              <w:t xml:space="preserve">Subtotal Material Emissions</w:t>
            </w:r>
          </w:p>
        </w:tc>
        <w:tc>
          <w:tcPr/>
          <w:p>
            <w:pPr>
              <w:pStyle w:val="Compact"/>
              <w:jc w:val="left"/>
            </w:pPr>
            <w:r>
              <w:t xml:space="preserve">5.63 kg CO2e</w:t>
            </w:r>
          </w:p>
        </w:tc>
      </w:tr>
    </w:tbl>
    <w:bookmarkEnd w:id="35"/>
    <w:bookmarkStart w:id="36" w:name="Xb3c74ef508ffcd1ca5d7739edc63252c7bd1f6e"/>
    <w:p>
      <w:pPr>
        <w:pStyle w:val="Heading4"/>
      </w:pPr>
      <w:r>
        <w:t xml:space="preserve">4.3.2 Upstream Emissions (Transportation of Raw Materials &amp; Components)</w:t>
      </w:r>
    </w:p>
    <w:p>
      <w:pPr>
        <w:pStyle w:val="FirstParagraph"/>
      </w:pPr>
      <w:r>
        <w:t xml:space="preserve">Assuming raw materials are sourced globally and transported to China for manufacturing. Illustrative data:</w:t>
      </w:r>
    </w:p>
    <w:p>
      <w:pPr>
        <w:numPr>
          <w:ilvl w:val="0"/>
          <w:numId w:val="1010"/>
        </w:numPr>
        <w:pStyle w:val="Compact"/>
      </w:pPr>
      <w:r>
        <w:rPr>
          <w:bCs/>
          <w:b/>
        </w:rPr>
        <w:t xml:space="preserve">Ocean Freight (Global to China):</w:t>
      </w:r>
      <w:r>
        <w:t xml:space="preserve"> </w:t>
      </w:r>
      <w:r>
        <w:t xml:space="preserve">Assumed 10,000 km for 0.5 kg average material weight per unit. Illustrative EF: 0.016 kg CO2e/tkm.</w:t>
      </w:r>
      <w:r>
        <w:t xml:space="preserve"> </w:t>
      </w:r>
      <w:r>
        <w:t xml:space="preserve">* Calculation: 0.5 kg * 10,000 km * 0.016 kg CO2e/tkm / 1000 (kg to tonne) = 0.08 kg CO2e</w:t>
      </w:r>
    </w:p>
    <w:p>
      <w:pPr>
        <w:numPr>
          <w:ilvl w:val="0"/>
          <w:numId w:val="1010"/>
        </w:numPr>
        <w:pStyle w:val="Compact"/>
      </w:pPr>
      <w:r>
        <w:rPr>
          <w:bCs/>
          <w:b/>
        </w:rPr>
        <w:t xml:space="preserve">Road Freight (China Domestic):</w:t>
      </w:r>
      <w:r>
        <w:t xml:space="preserve"> </w:t>
      </w:r>
      <w:r>
        <w:t xml:space="preserve">Assumed 200 km for 0.5 kg average material weight per unit. Illustrative EF: 0.09 kg CO2e/tkm.</w:t>
      </w:r>
      <w:r>
        <w:t xml:space="preserve"> </w:t>
      </w:r>
      <w:r>
        <w:t xml:space="preserve">* Calculation: 0.5 kg * 200 km * 0.09 kg CO2e/tkm / 1000 = 0.009 kg CO2e</w:t>
      </w:r>
    </w:p>
    <w:p>
      <w:pPr>
        <w:pStyle w:val="FirstParagraph"/>
      </w:pPr>
      <w:r>
        <w:rPr>
          <w:bCs/>
          <w:b/>
        </w:rPr>
        <w:t xml:space="preserve">Total Illustrative Upstream Transport Emissions:</w:t>
      </w:r>
      <w:r>
        <w:t xml:space="preserve"> </w:t>
      </w:r>
      <w:r>
        <w:t xml:space="preserve">0.08 + 0.009 = 0.089 kg CO2e</w:t>
      </w:r>
    </w:p>
    <w:bookmarkEnd w:id="36"/>
    <w:bookmarkStart w:id="37" w:name="X6600132d69c8ef317b37b002d7723c6e7df5851"/>
    <w:p>
      <w:pPr>
        <w:pStyle w:val="Heading4"/>
      </w:pPr>
      <w:r>
        <w:t xml:space="preserve">4.3.3 Downstream Emissions (Transportation to Customer)</w:t>
      </w:r>
    </w:p>
    <w:p>
      <w:pPr>
        <w:pStyle w:val="FirstParagraph"/>
      </w:pPr>
      <w:r>
        <w:t xml:space="preserve">Based on provided logistics data (Illustrative):</w:t>
      </w:r>
    </w:p>
    <w:p>
      <w:pPr>
        <w:numPr>
          <w:ilvl w:val="0"/>
          <w:numId w:val="1011"/>
        </w:numPr>
        <w:pStyle w:val="Compact"/>
      </w:pPr>
      <w:r>
        <w:rPr>
          <w:bCs/>
          <w:b/>
        </w:rPr>
        <w:t xml:space="preserve">Main Transport Mode:</w:t>
      </w:r>
      <w:r>
        <w:t xml:space="preserve"> </w:t>
      </w:r>
      <w:r>
        <w:t xml:space="preserve">Ocean Freight (China to Europe)</w:t>
      </w:r>
    </w:p>
    <w:p>
      <w:pPr>
        <w:numPr>
          <w:ilvl w:val="1"/>
          <w:numId w:val="1012"/>
        </w:numPr>
        <w:pStyle w:val="Compact"/>
      </w:pPr>
      <w:r>
        <w:rPr>
          <w:bCs/>
          <w:b/>
        </w:rPr>
        <w:t xml:space="preserve">Distance:</w:t>
      </w:r>
      <w:r>
        <w:t xml:space="preserve"> </w:t>
      </w:r>
      <w:r>
        <w:t xml:space="preserve">15,000 km (xifiemylsg)</w:t>
      </w:r>
    </w:p>
    <w:p>
      <w:pPr>
        <w:numPr>
          <w:ilvl w:val="1"/>
          <w:numId w:val="1012"/>
        </w:numPr>
        <w:pStyle w:val="Compact"/>
      </w:pPr>
      <w:r>
        <w:rPr>
          <w:bCs/>
          <w:b/>
        </w:rPr>
        <w:t xml:space="preserve">Illustrative EF:</w:t>
      </w:r>
      <w:r>
        <w:t xml:space="preserve"> </w:t>
      </w:r>
      <w:r>
        <w:t xml:space="preserve">0.016 kg CO2e/tkm</w:t>
      </w:r>
    </w:p>
    <w:p>
      <w:pPr>
        <w:numPr>
          <w:ilvl w:val="1"/>
          <w:numId w:val="1012"/>
        </w:numPr>
        <w:pStyle w:val="Compact"/>
      </w:pPr>
      <w:r>
        <w:rPr>
          <w:bCs/>
          <w:b/>
        </w:rPr>
        <w:t xml:space="preserve">Product Weight:</w:t>
      </w:r>
      <w:r>
        <w:t xml:space="preserve"> </w:t>
      </w:r>
      <w:r>
        <w:t xml:space="preserve">Assume 1.2 kg per unit</w:t>
      </w:r>
    </w:p>
    <w:p>
      <w:pPr>
        <w:numPr>
          <w:ilvl w:val="1"/>
          <w:numId w:val="1012"/>
        </w:numPr>
        <w:pStyle w:val="Compact"/>
      </w:pPr>
      <w:r>
        <w:rPr>
          <w:bCs/>
          <w:b/>
        </w:rPr>
        <w:t xml:space="preserve">Calculation:</w:t>
      </w:r>
      <w:r>
        <w:t xml:space="preserve"> </w:t>
      </w:r>
      <w:r>
        <w:t xml:space="preserve">1.2 kg * 15,000 km * 0.016 kg CO2e/tkm / 1000 = 0.288 kg CO2e</w:t>
      </w:r>
    </w:p>
    <w:p>
      <w:pPr>
        <w:numPr>
          <w:ilvl w:val="0"/>
          <w:numId w:val="1011"/>
        </w:numPr>
        <w:pStyle w:val="Compact"/>
      </w:pPr>
      <w:r>
        <w:rPr>
          <w:bCs/>
          <w:b/>
        </w:rPr>
        <w:t xml:space="preserve">European Distribution (Road Freight - HGV):</w:t>
      </w:r>
    </w:p>
    <w:p>
      <w:pPr>
        <w:numPr>
          <w:ilvl w:val="1"/>
          <w:numId w:val="1013"/>
        </w:numPr>
        <w:pStyle w:val="Compact"/>
      </w:pPr>
      <w:r>
        <w:rPr>
          <w:bCs/>
          <w:b/>
        </w:rPr>
        <w:t xml:space="preserve">Distance:</w:t>
      </w:r>
      <w:r>
        <w:t xml:space="preserve"> </w:t>
      </w:r>
      <w:r>
        <w:t xml:space="preserve">500 km (part of xifiemylsg)</w:t>
      </w:r>
    </w:p>
    <w:p>
      <w:pPr>
        <w:numPr>
          <w:ilvl w:val="1"/>
          <w:numId w:val="1013"/>
        </w:numPr>
        <w:pStyle w:val="Compact"/>
      </w:pPr>
      <w:r>
        <w:rPr>
          <w:bCs/>
          <w:b/>
        </w:rPr>
        <w:t xml:space="preserve">Illustrative EF:</w:t>
      </w:r>
      <w:r>
        <w:t xml:space="preserve"> </w:t>
      </w:r>
      <w:r>
        <w:t xml:space="preserve">0.09 kg CO2e/tkm</w:t>
      </w:r>
    </w:p>
    <w:p>
      <w:pPr>
        <w:numPr>
          <w:ilvl w:val="1"/>
          <w:numId w:val="1013"/>
        </w:numPr>
        <w:pStyle w:val="Compact"/>
      </w:pPr>
      <w:r>
        <w:rPr>
          <w:bCs/>
          <w:b/>
        </w:rPr>
        <w:t xml:space="preserve">Product Weight:</w:t>
      </w:r>
      <w:r>
        <w:t xml:space="preserve"> </w:t>
      </w:r>
      <w:r>
        <w:t xml:space="preserve">1.2 kg per unit</w:t>
      </w:r>
    </w:p>
    <w:p>
      <w:pPr>
        <w:numPr>
          <w:ilvl w:val="1"/>
          <w:numId w:val="1013"/>
        </w:numPr>
        <w:pStyle w:val="Compact"/>
      </w:pPr>
      <w:r>
        <w:rPr>
          <w:bCs/>
          <w:b/>
        </w:rPr>
        <w:t xml:space="preserve">Calculation:</w:t>
      </w:r>
      <w:r>
        <w:t xml:space="preserve"> </w:t>
      </w:r>
      <w:r>
        <w:t xml:space="preserve">1.2 kg * 500 km * 0.09 kg CO2e/tkm / 1000 = 0.054 kg CO2e</w:t>
      </w:r>
    </w:p>
    <w:p>
      <w:pPr>
        <w:numPr>
          <w:ilvl w:val="0"/>
          <w:numId w:val="1011"/>
        </w:numPr>
        <w:pStyle w:val="Compact"/>
      </w:pPr>
      <w:r>
        <w:rPr>
          <w:bCs/>
          <w:b/>
        </w:rPr>
        <w:t xml:space="preserve">Last-Mile Delivery Channel:</w:t>
      </w:r>
      <w:r>
        <w:t xml:space="preserve"> </w:t>
      </w:r>
      <w:r>
        <w:t xml:space="preserve">Road Freight (Van - Delivery Type)</w:t>
      </w:r>
    </w:p>
    <w:p>
      <w:pPr>
        <w:numPr>
          <w:ilvl w:val="1"/>
          <w:numId w:val="1014"/>
        </w:numPr>
        <w:pStyle w:val="Compact"/>
      </w:pPr>
      <w:r>
        <w:rPr>
          <w:bCs/>
          <w:b/>
        </w:rPr>
        <w:t xml:space="preserve">Distance:</w:t>
      </w:r>
      <w:r>
        <w:t xml:space="preserve"> </w:t>
      </w:r>
      <w:r>
        <w:t xml:space="preserve">50 km</w:t>
      </w:r>
    </w:p>
    <w:p>
      <w:pPr>
        <w:numPr>
          <w:ilvl w:val="1"/>
          <w:numId w:val="1014"/>
        </w:numPr>
        <w:pStyle w:val="Compact"/>
      </w:pPr>
      <w:r>
        <w:rPr>
          <w:bCs/>
          <w:b/>
        </w:rPr>
        <w:t xml:space="preserve">Illustrative EF:</w:t>
      </w:r>
      <w:r>
        <w:t xml:space="preserve"> </w:t>
      </w:r>
      <w:r>
        <w:t xml:space="preserve">0.15 kg CO2e/tkm</w:t>
      </w:r>
    </w:p>
    <w:p>
      <w:pPr>
        <w:numPr>
          <w:ilvl w:val="1"/>
          <w:numId w:val="1014"/>
        </w:numPr>
        <w:pStyle w:val="Compact"/>
      </w:pPr>
      <w:r>
        <w:rPr>
          <w:bCs/>
          <w:b/>
        </w:rPr>
        <w:t xml:space="preserve">Product Weight:</w:t>
      </w:r>
      <w:r>
        <w:t xml:space="preserve"> </w:t>
      </w:r>
      <w:r>
        <w:t xml:space="preserve">1.2 kg per unit</w:t>
      </w:r>
    </w:p>
    <w:p>
      <w:pPr>
        <w:numPr>
          <w:ilvl w:val="1"/>
          <w:numId w:val="1014"/>
        </w:numPr>
        <w:pStyle w:val="Compact"/>
      </w:pPr>
      <w:r>
        <w:rPr>
          <w:bCs/>
          <w:b/>
        </w:rPr>
        <w:t xml:space="preserve">Calculation:</w:t>
      </w:r>
      <w:r>
        <w:t xml:space="preserve"> </w:t>
      </w:r>
      <w:r>
        <w:t xml:space="preserve">1.2 kg * 50 km * 0.15 kg CO2e/tkm / 1000 = 0.009 kg CO2e</w:t>
      </w:r>
    </w:p>
    <w:p>
      <w:pPr>
        <w:pStyle w:val="FirstParagraph"/>
      </w:pPr>
      <w:r>
        <w:rPr>
          <w:bCs/>
          <w:b/>
        </w:rPr>
        <w:t xml:space="preserve">Total Illustrative Downstream Transport Emissions:</w:t>
      </w:r>
      <w:r>
        <w:t xml:space="preserve"> </w:t>
      </w:r>
      <w:r>
        <w:t xml:space="preserve">0.288 + 0.054 + 0.009 = 0.351 kg CO2e</w:t>
      </w:r>
    </w:p>
    <w:bookmarkEnd w:id="37"/>
    <w:bookmarkStart w:id="38" w:name="downstream-emissions-use-phase"/>
    <w:p>
      <w:pPr>
        <w:pStyle w:val="Heading4"/>
      </w:pPr>
      <w:r>
        <w:t xml:space="preserve">4.3.4 Downstream Emissions (Use Phase)</w:t>
      </w:r>
    </w:p>
    <w:p>
      <w:pPr>
        <w:pStyle w:val="FirstParagraph"/>
      </w:pPr>
      <w:r>
        <w:t xml:space="preserve">Based on provided durability and consumption data (Illustrative):</w:t>
      </w:r>
    </w:p>
    <w:p>
      <w:pPr>
        <w:numPr>
          <w:ilvl w:val="0"/>
          <w:numId w:val="1015"/>
        </w:numPr>
        <w:pStyle w:val="Compact"/>
      </w:pPr>
      <w:r>
        <w:rPr>
          <w:bCs/>
          <w:b/>
        </w:rPr>
        <w:t xml:space="preserve">Product Lifespan:</w:t>
      </w:r>
      <w:r>
        <w:t xml:space="preserve"> </w:t>
      </w:r>
      <w:r>
        <w:t xml:space="preserve">nizfxnthqh (5 years)</w:t>
      </w:r>
    </w:p>
    <w:p>
      <w:pPr>
        <w:numPr>
          <w:ilvl w:val="0"/>
          <w:numId w:val="1015"/>
        </w:numPr>
        <w:pStyle w:val="Compact"/>
      </w:pPr>
      <w:r>
        <w:rPr>
          <w:bCs/>
          <w:b/>
        </w:rPr>
        <w:t xml:space="preserve">Energy Consumption in Use:</w:t>
      </w:r>
      <w:r>
        <w:t xml:space="preserve"> </w:t>
      </w:r>
      <w:r>
        <w:t xml:space="preserve">zkvoeifqsi (10 kWh/year)</w:t>
      </w:r>
    </w:p>
    <w:p>
      <w:pPr>
        <w:numPr>
          <w:ilvl w:val="0"/>
          <w:numId w:val="1015"/>
        </w:numPr>
        <w:pStyle w:val="Compact"/>
      </w:pPr>
      <w:r>
        <w:rPr>
          <w:bCs/>
          <w:b/>
        </w:rPr>
        <w:t xml:space="preserve">Total Energy Consumption over Lifespan:</w:t>
      </w:r>
      <w:r>
        <w:t xml:space="preserve"> </w:t>
      </w:r>
      <w:r>
        <w:t xml:space="preserve">10 kWh/year * 5 years = 50 kWh</w:t>
      </w:r>
    </w:p>
    <w:p>
      <w:pPr>
        <w:numPr>
          <w:ilvl w:val="0"/>
          <w:numId w:val="1015"/>
        </w:numPr>
        <w:pStyle w:val="Compact"/>
      </w:pPr>
      <w:r>
        <w:rPr>
          <w:bCs/>
          <w:b/>
        </w:rPr>
        <w:t xml:space="preserve">Illustrative European Grid Emission Factor (Use Phase):</w:t>
      </w:r>
      <w:r>
        <w:t xml:space="preserve"> </w:t>
      </w:r>
      <w:r>
        <w:t xml:space="preserve">0.238 kg CO2e/kWh</w:t>
      </w:r>
    </w:p>
    <w:p>
      <w:pPr>
        <w:numPr>
          <w:ilvl w:val="0"/>
          <w:numId w:val="1015"/>
        </w:numPr>
        <w:pStyle w:val="Compact"/>
      </w:pPr>
      <w:r>
        <w:rPr>
          <w:bCs/>
          <w:b/>
        </w:rPr>
        <w:t xml:space="preserve">Calculation:</w:t>
      </w:r>
      <w:r>
        <w:t xml:space="preserve"> </w:t>
      </w:r>
      <w:r>
        <w:t xml:space="preserve">50 kWh * 0.238 kg CO2e/kWh = 11.90 kg CO2e</w:t>
      </w:r>
    </w:p>
    <w:p>
      <w:pPr>
        <w:pStyle w:val="FirstParagraph"/>
      </w:pPr>
      <w:r>
        <w:rPr>
          <w:bCs/>
          <w:b/>
        </w:rPr>
        <w:t xml:space="preserve">Total Illustrative Use Phase Emissions:</w:t>
      </w:r>
      <w:r>
        <w:t xml:space="preserve"> </w:t>
      </w:r>
      <w:r>
        <w:t xml:space="preserve">11.90 kg CO2e</w:t>
      </w:r>
    </w:p>
    <w:bookmarkEnd w:id="38"/>
    <w:bookmarkStart w:id="39" w:name="Xce3bf75de8974c83169c86b229b88eb23e809d4"/>
    <w:p>
      <w:pPr>
        <w:pStyle w:val="Heading4"/>
      </w:pPr>
      <w:r>
        <w:t xml:space="preserve">4.3.5 Downstream Emissions (End-of-Life Treatment)</w:t>
      </w:r>
    </w:p>
    <w:p>
      <w:pPr>
        <w:pStyle w:val="FirstParagraph"/>
      </w:pPr>
      <w:r>
        <w:t xml:space="preserve">Based on provided EoL scenarios (Illustrative):</w:t>
      </w:r>
    </w:p>
    <w:p>
      <w:pPr>
        <w:numPr>
          <w:ilvl w:val="0"/>
          <w:numId w:val="1016"/>
        </w:numPr>
        <w:pStyle w:val="Compact"/>
      </w:pPr>
      <w:r>
        <w:rPr>
          <w:bCs/>
          <w:b/>
        </w:rPr>
        <w:t xml:space="preserve">Recyclability Percentage:</w:t>
      </w:r>
      <w:r>
        <w:t xml:space="preserve"> </w:t>
      </w:r>
      <w:r>
        <w:t xml:space="preserve">vkpdfkusxx (70%)</w:t>
      </w:r>
    </w:p>
    <w:p>
      <w:pPr>
        <w:numPr>
          <w:ilvl w:val="0"/>
          <w:numId w:val="1016"/>
        </w:numPr>
        <w:pStyle w:val="Compact"/>
      </w:pPr>
      <w:r>
        <w:rPr>
          <w:bCs/>
          <w:b/>
        </w:rPr>
        <w:t xml:space="preserve">Circular/Take-back Programs:</w:t>
      </w:r>
      <w:r>
        <w:t xml:space="preserve"> </w:t>
      </w:r>
      <w:r>
        <w:t xml:space="preserve">xdfuhvpzet (Present, contributing to high recyclability)</w:t>
      </w:r>
    </w:p>
    <w:p>
      <w:pPr>
        <w:numPr>
          <w:ilvl w:val="0"/>
          <w:numId w:val="1016"/>
        </w:numPr>
        <w:pStyle w:val="Compact"/>
      </w:pPr>
      <w:r>
        <w:rPr>
          <w:bCs/>
          <w:b/>
        </w:rPr>
        <w:t xml:space="preserve">Product Weight:</w:t>
      </w:r>
      <w:r>
        <w:t xml:space="preserve"> </w:t>
      </w:r>
      <w:r>
        <w:t xml:space="preserve">1.2 kg</w:t>
      </w:r>
    </w:p>
    <w:p>
      <w:pPr>
        <w:numPr>
          <w:ilvl w:val="0"/>
          <w:numId w:val="1016"/>
        </w:numPr>
        <w:pStyle w:val="Compact"/>
      </w:pPr>
      <w:r>
        <w:rPr>
          <w:bCs/>
          <w:b/>
        </w:rPr>
        <w:t xml:space="preserve">Recycled Portion:</w:t>
      </w:r>
      <w:r>
        <w:t xml:space="preserve"> </w:t>
      </w:r>
      <w:r>
        <w:t xml:space="preserve">1.2 kg * 0.70 = 0.84 kg</w:t>
      </w:r>
    </w:p>
    <w:p>
      <w:pPr>
        <w:numPr>
          <w:ilvl w:val="0"/>
          <w:numId w:val="1016"/>
        </w:numPr>
        <w:pStyle w:val="Compact"/>
      </w:pPr>
      <w:r>
        <w:rPr>
          <w:bCs/>
          <w:b/>
        </w:rPr>
        <w:t xml:space="preserve">Non-recycled (Landfilled) Portion:</w:t>
      </w:r>
      <w:r>
        <w:t xml:space="preserve"> </w:t>
      </w:r>
      <w:r>
        <w:t xml:space="preserve">1.2 kg * 0.30 = 0.36 kg</w:t>
      </w:r>
    </w:p>
    <w:p>
      <w:pPr>
        <w:numPr>
          <w:ilvl w:val="0"/>
          <w:numId w:val="1016"/>
        </w:numPr>
        <w:pStyle w:val="Compact"/>
      </w:pPr>
      <w:r>
        <w:rPr>
          <w:bCs/>
          <w:b/>
        </w:rPr>
        <w:t xml:space="preserve">Avoided Emissions from Recycling (Credit):</w:t>
      </w:r>
      <w:r>
        <w:t xml:space="preserve"> </w:t>
      </w:r>
      <w:r>
        <w:t xml:space="preserve">Illustrative credit of -1.0 kg CO2e/kg for recycled material.</w:t>
      </w:r>
      <w:r>
        <w:t xml:space="preserve"> </w:t>
      </w:r>
      <w:r>
        <w:t xml:space="preserve">* Calculation: 0.84 kg * (-1.0 kg CO2e/kg) = -0.84 kg CO2e</w:t>
      </w:r>
    </w:p>
    <w:p>
      <w:pPr>
        <w:numPr>
          <w:ilvl w:val="0"/>
          <w:numId w:val="1016"/>
        </w:numPr>
        <w:pStyle w:val="Compact"/>
      </w:pPr>
      <w:r>
        <w:rPr>
          <w:bCs/>
          <w:b/>
        </w:rPr>
        <w:t xml:space="preserve">Emissions from Non-recycled Waste (Landfill):</w:t>
      </w:r>
      <w:r>
        <w:t xml:space="preserve"> </w:t>
      </w:r>
      <w:r>
        <w:t xml:space="preserve">Illustrative EF: 0.7 kg CO2e/kg.</w:t>
      </w:r>
      <w:r>
        <w:t xml:space="preserve"> </w:t>
      </w:r>
      <w:r>
        <w:t xml:space="preserve">* Calculation: 0.36 kg * 0.7 kg CO2e/kg = 0.252 kg CO2e</w:t>
      </w:r>
    </w:p>
    <w:p>
      <w:pPr>
        <w:pStyle w:val="FirstParagraph"/>
      </w:pPr>
      <w:r>
        <w:rPr>
          <w:bCs/>
          <w:b/>
        </w:rPr>
        <w:t xml:space="preserve">Total Illustrative End-of-Life Emissions:</w:t>
      </w:r>
      <w:r>
        <w:t xml:space="preserve"> </w:t>
      </w:r>
      <w:r>
        <w:t xml:space="preserve">0.252 - 0.84 = -0.588 kg CO2e (Net Credit)</w:t>
      </w:r>
    </w:p>
    <w:bookmarkEnd w:id="39"/>
    <w:bookmarkEnd w:id="40"/>
    <w:bookmarkStart w:id="41" w:name="total-product-carbon-footprint"/>
    <w:p>
      <w:pPr>
        <w:pStyle w:val="Heading3"/>
      </w:pPr>
      <w:r>
        <w:t xml:space="preserve">4.4 Total Product Carbon Footprint</w:t>
      </w:r>
    </w:p>
    <w:p>
      <w:pPr>
        <w:pStyle w:val="FirstParagraph"/>
      </w:pPr>
      <w:r>
        <w:t xml:space="preserve">Summing up all calculated emissions (illustrative values):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0.10</w:t>
            </w:r>
          </w:p>
        </w:tc>
      </w:tr>
      <w:tr>
        <w:tc>
          <w:tcPr/>
          <w:p>
            <w:pPr>
              <w:pStyle w:val="Compact"/>
              <w:jc w:val="left"/>
            </w:pPr>
            <w:r>
              <w:t xml:space="preserve">Scope 2 (Purchased Electricity)</w:t>
            </w:r>
          </w:p>
        </w:tc>
        <w:tc>
          <w:tcPr/>
          <w:p>
            <w:pPr>
              <w:pStyle w:val="Compact"/>
              <w:jc w:val="left"/>
            </w:pPr>
            <w:r>
              <w:t xml:space="preserve">4.65</w:t>
            </w:r>
          </w:p>
        </w:tc>
      </w:tr>
      <w:tr>
        <w:tc>
          <w:tcPr/>
          <w:p>
            <w:pPr>
              <w:pStyle w:val="Compact"/>
              <w:jc w:val="left"/>
            </w:pPr>
            <w:r>
              <w:t xml:space="preserve">Scope 3 (Upstream Materials)</w:t>
            </w:r>
          </w:p>
        </w:tc>
        <w:tc>
          <w:tcPr/>
          <w:p>
            <w:pPr>
              <w:pStyle w:val="Compact"/>
              <w:jc w:val="left"/>
            </w:pPr>
            <w:r>
              <w:t xml:space="preserve">5.63</w:t>
            </w:r>
          </w:p>
        </w:tc>
      </w:tr>
      <w:tr>
        <w:tc>
          <w:tcPr/>
          <w:p>
            <w:pPr>
              <w:pStyle w:val="Compact"/>
              <w:jc w:val="left"/>
            </w:pPr>
            <w:r>
              <w:t xml:space="preserve">Scope 3 (Upstream Transport)</w:t>
            </w:r>
          </w:p>
        </w:tc>
        <w:tc>
          <w:tcPr/>
          <w:p>
            <w:pPr>
              <w:pStyle w:val="Compact"/>
              <w:jc w:val="left"/>
            </w:pPr>
            <w:r>
              <w:t xml:space="preserve">0.089</w:t>
            </w:r>
          </w:p>
        </w:tc>
      </w:tr>
      <w:tr>
        <w:tc>
          <w:tcPr/>
          <w:p>
            <w:pPr>
              <w:pStyle w:val="Compact"/>
              <w:jc w:val="left"/>
            </w:pPr>
            <w:r>
              <w:t xml:space="preserve">Scope 3 (Downstream Transport)</w:t>
            </w:r>
          </w:p>
        </w:tc>
        <w:tc>
          <w:tcPr/>
          <w:p>
            <w:pPr>
              <w:pStyle w:val="Compact"/>
              <w:jc w:val="left"/>
            </w:pPr>
            <w:r>
              <w:t xml:space="preserve">0.351</w:t>
            </w:r>
          </w:p>
        </w:tc>
      </w:tr>
      <w:tr>
        <w:tc>
          <w:tcPr/>
          <w:p>
            <w:pPr>
              <w:pStyle w:val="Compact"/>
              <w:jc w:val="left"/>
            </w:pPr>
            <w:r>
              <w:t xml:space="preserve">Scope 3 (Use Phase)</w:t>
            </w:r>
          </w:p>
        </w:tc>
        <w:tc>
          <w:tcPr/>
          <w:p>
            <w:pPr>
              <w:pStyle w:val="Compact"/>
              <w:jc w:val="left"/>
            </w:pPr>
            <w:r>
              <w:t xml:space="preserve">11.90</w:t>
            </w:r>
          </w:p>
        </w:tc>
      </w:tr>
      <w:tr>
        <w:tc>
          <w:tcPr/>
          <w:p>
            <w:pPr>
              <w:pStyle w:val="Compact"/>
              <w:jc w:val="left"/>
            </w:pPr>
            <w:r>
              <w:t xml:space="preserve">Scope 3 (End-of-Life)</w:t>
            </w:r>
          </w:p>
        </w:tc>
        <w:tc>
          <w:tcPr/>
          <w:p>
            <w:pPr>
              <w:pStyle w:val="Compact"/>
              <w:jc w:val="left"/>
            </w:pPr>
            <w:r>
              <w:t xml:space="preserve">-0.588</w:t>
            </w:r>
          </w:p>
        </w:tc>
      </w:tr>
      <w:tr>
        <w:tc>
          <w:tcPr/>
          <w:p>
            <w:pPr>
              <w:pStyle w:val="Compact"/>
              <w:jc w:val="left"/>
            </w:pPr>
            <w:r>
              <w:rPr>
                <w:bCs/>
                <w:b/>
              </w:rPr>
              <w:t xml:space="preserve">Total PCF for 1.0 unit of psjepngejq</w:t>
            </w:r>
          </w:p>
        </w:tc>
        <w:tc>
          <w:tcPr/>
          <w:p>
            <w:pPr>
              <w:pStyle w:val="Compact"/>
              <w:jc w:val="left"/>
            </w:pPr>
            <w:r>
              <w:rPr>
                <w:bCs/>
                <w:b/>
              </w:rPr>
              <w:t xml:space="preserve">22.132 kg CO2e</w:t>
            </w:r>
          </w:p>
        </w:tc>
      </w:tr>
    </w:tbl>
    <w:p>
      <w:pPr>
        <w:pStyle w:val="BodyText"/>
      </w:pPr>
      <w:r>
        <w:rPr>
          <w:bCs/>
          <w:b/>
        </w:rPr>
        <w:t xml:space="preserve">Note on 2026 LSR Update:</w:t>
      </w:r>
      <w:r>
        <w:t xml:space="preserve"> </w:t>
      </w:r>
      <w:r>
        <w:t xml:space="preserve">The Land Sector and Removals (LSR) Standard update integrates land use emissions and removals. For products, this typically impacts raw material acquisition (e.g., bio-based materials, deforestation impacts). In this illustrative analysis, material emission factors implicitly include some LSR considerations. For a definitive analysis, specific LSR EFs for each material would be applied if distinct from standard GWP factors.</w:t>
      </w:r>
    </w:p>
    <w:p>
      <w:r>
        <w:pict>
          <v:rect style="width:0;height:1.5pt" o:hralign="center" o:hrstd="t" o:hr="t"/>
        </w:pict>
      </w:r>
    </w:p>
    <w:bookmarkEnd w:id="41"/>
    <w:bookmarkEnd w:id="42"/>
    <w:bookmarkStart w:id="45"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Based on the illustrative calculations, the primary emission hotspots for psjepngejq are:</w:t>
      </w:r>
    </w:p>
    <w:p>
      <w:pPr>
        <w:numPr>
          <w:ilvl w:val="0"/>
          <w:numId w:val="1017"/>
        </w:numPr>
        <w:pStyle w:val="Compact"/>
      </w:pPr>
      <w:r>
        <w:rPr>
          <w:bCs/>
          <w:b/>
        </w:rPr>
        <w:t xml:space="preserve">Use Phase (53.8%):</w:t>
      </w:r>
      <w:r>
        <w:t xml:space="preserve"> </w:t>
      </w:r>
      <w:r>
        <w:t xml:space="preserve">The energy consumption during the product\'s 5-year lifespan is the most significant contributor. This highlights opportunities for designing more energy-efficient products or encouraging renewable energy use by end-users.</w:t>
      </w:r>
    </w:p>
    <w:p>
      <w:pPr>
        <w:numPr>
          <w:ilvl w:val="0"/>
          <w:numId w:val="1017"/>
        </w:numPr>
        <w:pStyle w:val="Compact"/>
      </w:pPr>
      <w:r>
        <w:rPr>
          <w:bCs/>
          <w:b/>
        </w:rPr>
        <w:t xml:space="preserve">Upstream Materials (25.4%):</w:t>
      </w:r>
      <w:r>
        <w:t xml:space="preserve"> </w:t>
      </w:r>
      <w:r>
        <w:t xml:space="preserve">The embodied carbon in raw materials, particularly plastics and electronics, represents the second largest impact. Strategies should focus on sustainable material sourcing, lightweighting, and using recycled content.</w:t>
      </w:r>
    </w:p>
    <w:p>
      <w:pPr>
        <w:numPr>
          <w:ilvl w:val="0"/>
          <w:numId w:val="1017"/>
        </w:numPr>
        <w:pStyle w:val="Compact"/>
      </w:pPr>
      <w:r>
        <w:rPr>
          <w:bCs/>
          <w:b/>
        </w:rPr>
        <w:t xml:space="preserve">Purchased Electricity (Production) (21.0%):</w:t>
      </w:r>
      <w:r>
        <w:t xml:space="preserve"> </w:t>
      </w:r>
      <w:r>
        <w:t xml:space="preserve">While 50% renewable energy is used, the remaining grid electricity for manufacturing still contributes significantly. Further increasing renewable energy procurement or improving energy efficiency at the factory is crucial.</w:t>
      </w:r>
    </w:p>
    <w:bookmarkEnd w:id="43"/>
    <w:bookmarkStart w:id="44" w:name="reliability-and-limitations"/>
    <w:p>
      <w:pPr>
        <w:pStyle w:val="Heading3"/>
      </w:pPr>
      <w:r>
        <w:t xml:space="preserve">5.2 Reliability and Limitations</w:t>
      </w:r>
    </w:p>
    <w:p>
      <w:pPr>
        <w:pStyle w:val="FirstParagraph"/>
      </w:pPr>
      <w:r>
        <w:t xml:space="preserve">The reliability of this PCF analysis is contingent upon the accuracy and representativeness of the input data. Key considerations:</w:t>
      </w:r>
    </w:p>
    <w:p>
      <w:pPr>
        <w:numPr>
          <w:ilvl w:val="0"/>
          <w:numId w:val="1018"/>
        </w:numPr>
        <w:pStyle w:val="Compact"/>
      </w:pPr>
      <w:r>
        <w:rPr>
          <w:bCs/>
          <w:b/>
        </w:rPr>
        <w:t xml:space="preserve">Illustrative Data:</w:t>
      </w:r>
      <w:r>
        <w:t xml:space="preserve"> </w:t>
      </w:r>
      <w:r>
        <w:t xml:space="preserve">A significant limitation is the reliance on illustrative data for the Bill of Materials, transport distances, energy intensity, and use-phase consumption due to placeholder input parameters (e.g., zexllxii, xifiemylsg, yhwhpmjmsg, kxdjtqxnjf, nizfxnthqh, zkvoeifqsi, vkpdfkusxx, xdfuhvpzet). Actual emissions will vary significantly with precise primary data.</w:t>
      </w:r>
    </w:p>
    <w:p>
      <w:pPr>
        <w:numPr>
          <w:ilvl w:val="0"/>
          <w:numId w:val="1018"/>
        </w:numPr>
        <w:pStyle w:val="Compact"/>
      </w:pPr>
      <w:r>
        <w:rPr>
          <w:bCs/>
          <w:b/>
        </w:rPr>
        <w:t xml:space="preserve">Emission Factors:</w:t>
      </w:r>
      <w:r>
        <w:t xml:space="preserve"> </w:t>
      </w:r>
      <w:r>
        <w:t xml:space="preserve">While industry-standard emission factors (e.g., Ecoinvent/DEFRA equivalents) have been referenced conceptually and informed the illustrative values, their specific application here uses assumed representative values. The choice and vintage of these factors can impact results.</w:t>
      </w:r>
    </w:p>
    <w:p>
      <w:pPr>
        <w:numPr>
          <w:ilvl w:val="0"/>
          <w:numId w:val="1018"/>
        </w:numPr>
        <w:pStyle w:val="Compact"/>
      </w:pPr>
      <w:r>
        <w:rPr>
          <w:bCs/>
          <w:b/>
        </w:rPr>
        <w:t xml:space="preserve">System Boundary:</w:t>
      </w:r>
      <w:r>
        <w:t xml:space="preserve"> </w:t>
      </w:r>
      <w:r>
        <w:t xml:space="preserve">The factory-gate system boundary for primary production, while expanded for Scope 3 reporting, means certain corporate-level overheads are outside the direct product boundary.</w:t>
      </w:r>
    </w:p>
    <w:p>
      <w:pPr>
        <w:numPr>
          <w:ilvl w:val="0"/>
          <w:numId w:val="1018"/>
        </w:numPr>
        <w:pStyle w:val="Compact"/>
      </w:pPr>
      <w:r>
        <w:rPr>
          <w:bCs/>
          <w:b/>
        </w:rPr>
        <w:t xml:space="preserve">2026 LSR Update:</w:t>
      </w:r>
      <w:r>
        <w:t xml:space="preserve"> </w:t>
      </w:r>
      <w:r>
        <w:t xml:space="preserve">While acknowledged, specific, granular data for land-use change and removals for each material was not available for this illustrative analysis and would require highly specific supply chain data.</w:t>
      </w:r>
    </w:p>
    <w:p>
      <w:pPr>
        <w:numPr>
          <w:ilvl w:val="0"/>
          <w:numId w:val="1018"/>
        </w:numPr>
        <w:pStyle w:val="Compact"/>
      </w:pPr>
      <w:r>
        <w:rPr>
          <w:bCs/>
          <w:b/>
        </w:rPr>
        <w:t xml:space="preserve">Scope 3 Coverage:</w:t>
      </w:r>
      <w:r>
        <w:t xml:space="preserve"> </w:t>
      </w:r>
      <w:r>
        <w:t xml:space="preserve">The analysis aims for 95% Scope 3 coverage. However, without specific data on all minor components or services, there may be small exclusions which, by definition, fall within the 5% margin.</w:t>
      </w:r>
    </w:p>
    <w:p>
      <w:pPr>
        <w:pStyle w:val="FirstParagraph"/>
      </w:pPr>
      <w:r>
        <w:t xml:space="preserve">For greater accuracy, primary data for all material inputs, energy consumption, and specific transport routes should be collected. Furthermore, a sensitivity analysis on key emission factors and input parameters would strengthen the robustness of the findings.</w:t>
      </w:r>
    </w:p>
    <w:p>
      <w:r>
        <w:pict>
          <v:rect style="width:0;height:1.5pt" o:hralign="center" o:hrstd="t" o:hr="t"/>
        </w:pict>
      </w:r>
    </w:p>
    <w:p>
      <w:pPr>
        <w:pStyle w:val="FirstParagraph"/>
      </w:pPr>
      <w:r>
        <w:t xml:space="preserve">Confidential - Internal Use Only | Page 1 of 1 (Illustrative Page Number)</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psjepngejq</dc:title>
  <dc:creator/>
  <dc:description>Product Carbon Footprint (PCF) analysis report for psjepngejq, following GHG Protocol standards, conducted by tmlvvupidg and lldhhkswwr.</dc:description>
  <cp:keywords/>
  <dcterms:created xsi:type="dcterms:W3CDTF">2026-07-15T06:20:39Z</dcterms:created>
  <dcterms:modified xsi:type="dcterms:W3CDTF">2026-07-15T06:20:39Z</dcterms:modified>
</cp:coreProperties>
</file>

<file path=docProps/custom.xml><?xml version="1.0" encoding="utf-8"?>
<Properties xmlns="http://schemas.openxmlformats.org/officeDocument/2006/custom-properties" xmlns:vt="http://schemas.openxmlformats.org/officeDocument/2006/docPropsVTypes"/>
</file>