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ppzghmxtvo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lmnonhvizl</w:t>
      </w:r>
    </w:p>
    <w:p>
      <w:pPr>
        <w:pStyle w:val="BodyText"/>
      </w:pPr>
      <w:r>
        <w:rPr>
          <w:bCs/>
          <w:b/>
        </w:rPr>
        <w:t xml:space="preserve">Senior Sustainability Consultant:</w:t>
      </w:r>
      <w:r>
        <w:t xml:space="preserve"> </w:t>
      </w:r>
      <w:r>
        <w:t xml:space="preserve">ferpfrlxdq</w:t>
      </w:r>
    </w:p>
    <w:p>
      <w:pPr>
        <w:pStyle w:val="BodyText"/>
      </w:pPr>
      <w:r>
        <w:t xml:space="preserve">Disclaimer: This report is generated based on available data, illustrative values for unquantified parameters, and industry standards. While every effort has been made to ensure accuracy within these constraints, it should be used for informational and strategic planning purposes.</w:t>
      </w:r>
    </w:p>
    <w:bookmarkEnd w:id="20"/>
    <w:bookmarkStart w:id="21" w:name="X74f7a3112ebd560e8d454fd818502ce25c68095"/>
    <w:p>
      <w:pPr>
        <w:pStyle w:val="Heading1"/>
      </w:pPr>
      <w:r>
        <w:t xml:space="preserve">Product Carbon Footprint Analysis for ppzghmxtvo</w:t>
      </w:r>
    </w:p>
    <w:p>
      <w:pPr>
        <w:pStyle w:val="FirstParagraph"/>
      </w:pPr>
      <w:r>
        <w:t xml:space="preserve">Generated Date: June 4, 2026</w:t>
      </w:r>
    </w:p>
    <w:bookmarkEnd w:id="21"/>
    <w:bookmarkStart w:id="22" w:name="executive-summary"/>
    <w:p>
      <w:pPr>
        <w:pStyle w:val="Heading2"/>
      </w:pPr>
      <w:r>
        <w:t xml:space="preserve">Executive Summary</w:t>
      </w:r>
    </w:p>
    <w:p>
      <w:pPr>
        <w:pStyle w:val="FirstParagraph"/>
      </w:pPr>
      <w:r>
        <w:t xml:space="preserve">As ferpfrlxdq, Senior Sustainability Consultant specializing in GHG Protocol, I have conducted a high-detail Product Carbon Footprint (PCF) analysis for ppzghmxtvo, a product manufactured by lmnonhvizl. This analysis adheres to the Greenhouse Gas (GHG) Protocol standards, incorporating the latest 2026 updates, including the Land Sector and Removals (LSR) Standard and aiming for over 95% Scope 3 coverage.</w:t>
      </w:r>
    </w:p>
    <w:p>
      <w:pPr>
        <w:pStyle w:val="BodyText"/>
      </w:pPr>
      <w:r>
        <w:t xml:space="preserve">The comprehensive cradle-to-grave assessment reveals key emission hotspots across the product\'s lifecycle, from raw material extraction to end-of-life. The total carbon footprint for one functional unit of ppzghmxtvo is calculated to be approximately</w:t>
      </w:r>
      <w:r>
        <w:t xml:space="preserve"> </w:t>
      </w:r>
      <w:r>
        <w:rPr>
          <w:bCs/>
          <w:b/>
        </w:rPr>
        <w:t xml:space="preserve">9.50 kg CO2e</w:t>
      </w:r>
      <w:r>
        <w:t xml:space="preserve">. The most significant contributions stem from the Use Phase and Material Acquisition &amp; Pre-processing, highlighting areas for strategic intervention to enhance the product\'s environmental performance.</w:t>
      </w:r>
    </w:p>
    <w:p>
      <w:r>
        <w:pict>
          <v:rect style="width:0;height:1.5pt" o:hralign="center" o:hrstd="t" o:hr="t"/>
        </w:pict>
      </w:r>
    </w:p>
    <w:bookmarkEnd w:id="22"/>
    <w:bookmarkStart w:id="28" w:name="defining-the-scope"/>
    <w:p>
      <w:pPr>
        <w:pStyle w:val="Heading2"/>
      </w:pPr>
      <w:r>
        <w:t xml:space="preserve">1. Defining the Scope</w:t>
      </w:r>
    </w:p>
    <w:bookmarkStart w:id="23" w:name="functional-unit"/>
    <w:p>
      <w:pPr>
        <w:pStyle w:val="Heading3"/>
      </w:pPr>
      <w:r>
        <w:t xml:space="preserve">1.1 Functional Unit</w:t>
      </w:r>
    </w:p>
    <w:p>
      <w:pPr>
        <w:numPr>
          <w:ilvl w:val="0"/>
          <w:numId w:val="1001"/>
        </w:numPr>
        <w:pStyle w:val="Compact"/>
      </w:pPr>
      <w:r>
        <w:rPr>
          <w:bCs/>
          <w:b/>
        </w:rPr>
        <w:t xml:space="preserve">Product:</w:t>
      </w:r>
      <w:r>
        <w:t xml:space="preserve"> </w:t>
      </w:r>
      <w:r>
        <w:t xml:space="preserve">ppzghmxtvo</w:t>
      </w:r>
    </w:p>
    <w:p>
      <w:pPr>
        <w:numPr>
          <w:ilvl w:val="0"/>
          <w:numId w:val="1001"/>
        </w:numPr>
        <w:pStyle w:val="Compact"/>
      </w:pPr>
      <w:r>
        <w:rPr>
          <w:bCs/>
          <w:b/>
        </w:rPr>
        <w:t xml:space="preserve">Functional Unit:</w:t>
      </w:r>
      <w:r>
        <w:t xml:space="preserve"> </w:t>
      </w:r>
      <w:r>
        <w:t xml:space="preserve">1.0 unit of ppzghmxtvo. This unit serves as the reference basis for quantifying all inputs and outputs throughout the product\'s lifecycle.</w:t>
      </w:r>
    </w:p>
    <w:bookmarkEnd w:id="23"/>
    <w:bookmarkStart w:id="24" w:name="system-boundary"/>
    <w:p>
      <w:pPr>
        <w:pStyle w:val="Heading3"/>
      </w:pPr>
      <w:r>
        <w:t xml:space="preserve">1.2 System Boundary</w:t>
      </w:r>
    </w:p>
    <w:p>
      <w:pPr>
        <w:pStyle w:val="FirstParagraph"/>
      </w:pPr>
      <w:r>
        <w:t xml:space="preserve">While the primary system boundary for initial accounting is specified as \'factory_gate\' (cradle-to-gate), the provision of parameters for product lifespan, energy consumption in use, recyclability, and circular programs necessitates an extended \'cradle-to-grave\' analysis. This comprehensive approach covers all stages from raw material extraction to the product\'s end-of-life, providing a holistic view of environmental impacts.</w:t>
      </w:r>
    </w:p>
    <w:p>
      <w:pPr>
        <w:numPr>
          <w:ilvl w:val="0"/>
          <w:numId w:val="1002"/>
        </w:numPr>
        <w:pStyle w:val="Compact"/>
      </w:pPr>
      <w:r>
        <w:rPr>
          <w:bCs/>
          <w:b/>
        </w:rPr>
        <w:t xml:space="preserve">Cradle-to-Grave Analysis:</w:t>
      </w:r>
      <w:r>
        <w:t xml:space="preserve"> </w:t>
      </w:r>
      <w:r>
        <w:t xml:space="preserve">Includes Raw Material Acquisition &amp; Pre-processing, Manufacturing, Transport (Inbound &amp; Outbound), Use Phase, and End-of-Life.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raw material sourcing/components)</w:t>
      </w:r>
    </w:p>
    <w:p>
      <w:pPr>
        <w:numPr>
          <w:ilvl w:val="0"/>
          <w:numId w:val="1003"/>
        </w:numPr>
        <w:pStyle w:val="Compact"/>
      </w:pPr>
      <w:r>
        <w:rPr>
          <w:bCs/>
          <w:b/>
        </w:rPr>
        <w:t xml:space="preserve">Distribution &amp; Use:</w:t>
      </w:r>
      <w:r>
        <w:t xml:space="preserve"> </w:t>
      </w:r>
      <w:r>
        <w:t xml:space="preserve">Assumed global market, with a focus on Europe for use phase energy mix.</w:t>
      </w:r>
    </w:p>
    <w:bookmarkEnd w:id="25"/>
    <w:bookmarkStart w:id="26" w:name="accounting-standard"/>
    <w:p>
      <w:pPr>
        <w:pStyle w:val="Heading3"/>
      </w:pPr>
      <w:r>
        <w:t xml:space="preserve">1.4 Accounting Standard</w:t>
      </w:r>
    </w:p>
    <w:p>
      <w:pPr>
        <w:numPr>
          <w:ilvl w:val="0"/>
          <w:numId w:val="1004"/>
        </w:numPr>
        <w:pStyle w:val="Compact"/>
      </w:pPr>
      <w:r>
        <w:rPr>
          <w:bCs/>
          <w:b/>
        </w:rPr>
        <w:t xml:space="preserve">Standard:</w:t>
      </w:r>
      <w:r>
        <w:t xml:space="preserve"> </w:t>
      </w:r>
      <w:r>
        <w:t xml:space="preserve">GHG Protocol. This analysis strictly follows the GHG Protocol\'s methodologies for quantifying and reporting greenhouse gas emissions.</w:t>
      </w:r>
    </w:p>
    <w:p>
      <w:pPr>
        <w:numPr>
          <w:ilvl w:val="0"/>
          <w:numId w:val="1004"/>
        </w:numPr>
        <w:pStyle w:val="Compact"/>
      </w:pPr>
      <w:r>
        <w:rPr>
          <w:bCs/>
          <w:b/>
        </w:rPr>
        <w:t xml:space="preserve">GHG Protocol Scopes:</w:t>
      </w:r>
      <w:r>
        <w:t xml:space="preserve"> </w:t>
      </w:r>
      <w:r>
        <w:t xml:space="preserve">Emissions are categorized into Scope 1 (direct emissions from owned or controlled sources), Scope 2 (indirect emissions from purchased energy), and Scope 3 (all other indirect emissions in the value chain, both upstream and downstream).</w:t>
      </w:r>
    </w:p>
    <w:p>
      <w:pPr>
        <w:numPr>
          <w:ilvl w:val="0"/>
          <w:numId w:val="1004"/>
        </w:numPr>
        <w:pStyle w:val="Compact"/>
      </w:pPr>
      <w:r>
        <w:rPr>
          <w:bCs/>
          <w:b/>
        </w:rPr>
        <w:t xml:space="preserve">2026 LSR Update:</w:t>
      </w:r>
      <w:r>
        <w:t xml:space="preserve"> </w:t>
      </w:r>
      <w:r>
        <w:t xml:space="preserve">The Land Sector and Removals (LSR) Standard, released by GHG Protocol on January 30, 2026, is acknowledged and applied conceptually for land use and carbon removals where relevant, providing requirements and guidance for accounting for land sector emissions and CO2 removals.</w:t>
      </w:r>
    </w:p>
    <w:p>
      <w:pPr>
        <w:numPr>
          <w:ilvl w:val="0"/>
          <w:numId w:val="1004"/>
        </w:numPr>
        <w:pStyle w:val="Compact"/>
      </w:pPr>
      <w:r>
        <w:rPr>
          <w:bCs/>
          <w:b/>
        </w:rPr>
        <w:t xml:space="preserve">Scope 3 Compliance:</w:t>
      </w:r>
      <w:r>
        <w:t xml:space="preserve"> </w:t>
      </w:r>
      <w:r>
        <w:t xml:space="preserve">This analysis aims for at least 95% coverage for Scope 3 reporting, in line with the proposed 2026 GHG Protocol requirements to enhance completeness, consistency, and transparency.</w:t>
      </w:r>
    </w:p>
    <w:bookmarkEnd w:id="26"/>
    <w:bookmarkStart w:id="27" w:name="allocation"/>
    <w:p>
      <w:pPr>
        <w:pStyle w:val="Heading3"/>
      </w:pPr>
      <w:r>
        <w:t xml:space="preserve">1.5 Allocation</w:t>
      </w:r>
    </w:p>
    <w:p>
      <w:pPr>
        <w:numPr>
          <w:ilvl w:val="0"/>
          <w:numId w:val="1005"/>
        </w:numPr>
        <w:pStyle w:val="Compact"/>
      </w:pPr>
      <w:r>
        <w:t xml:space="preserve">Emissions are primarily allocated on a mass-basis for materials and transportation, where applicable.</w:t>
      </w:r>
    </w:p>
    <w:p>
      <w:r>
        <w:pict>
          <v:rect style="width:0;height:1.5pt" o:hralign="center" o:hrstd="t" o:hr="t"/>
        </w:pict>
      </w:r>
    </w:p>
    <w:bookmarkEnd w:id="27"/>
    <w:bookmarkEnd w:id="28"/>
    <w:bookmarkStart w:id="34" w:name="X3a2c97704a5dbeb2f51c93da4707edd8a8454fe"/>
    <w:p>
      <w:pPr>
        <w:pStyle w:val="Heading2"/>
      </w:pPr>
      <w:r>
        <w:t xml:space="preserve">2. Mapping the Lifecycle &amp; Data Collection (Steps 2 &amp; 3)</w:t>
      </w:r>
    </w:p>
    <w:p>
      <w:pPr>
        <w:pStyle w:val="FirstParagraph"/>
      </w:pPr>
      <w:r>
        <w:t xml:space="preserve">The lifecycle of ppzghmxtvo has been mapped across key stages, and data has been collected (or illustrative data utilized where specific parameter values were placeholders) to quantify the associated environmental impacts.</w:t>
      </w:r>
    </w:p>
    <w:p>
      <w:pPr>
        <w:pStyle w:val="BodyText"/>
      </w:pPr>
      <w:r>
        <w:rPr>
          <w:bCs/>
          <w:b/>
        </w:rPr>
        <w:t xml:space="preserve">Note on Data Specificity:</w:t>
      </w:r>
      <w:r>
        <w:t xml:space="preserve"> </w:t>
      </w:r>
      <w:r>
        <w:t xml:space="preserve">The provided parameter \'jnihtpoy\' for the Detailed Bill of Materials (BOM) was a placeholder string. For the purpose of calculation and report completion, illustrative BOM data, adhering to the specified format (ID, Description, Category, Process, Qty, Unit, Emission Factor, Total Carbon), has been generated. Similar illustrative values have been used for other placeholder parameters (Transport Mode, Transport Distance, Delivery Type, Renewable Energy Usage, Energy Intensity, Product Lifespan, Energy Consumption in Use, Recyclability Percentage, Circular/Take-back Programs). These illustrative values are based on typical industry averages and best estimates to demonstrate the methodology.</w:t>
      </w:r>
    </w:p>
    <w:bookmarkStart w:id="29" w:name="raw-material-acquisition-pre-processing"/>
    <w:p>
      <w:pPr>
        <w:pStyle w:val="Heading3"/>
      </w:pPr>
      <w:r>
        <w:t xml:space="preserve">2.1 Raw Material Acquisition &amp; Pre-processing</w:t>
      </w:r>
    </w:p>
    <w:p>
      <w:pPr>
        <w:pStyle w:val="FirstParagraph"/>
      </w:pPr>
      <w:r>
        <w:t xml:space="preserve">Inputs for ppzghmxtvo are detailed in the Bill of Materials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002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right"/>
            </w:pPr>
            <w:r>
              <w:rPr>
                <w:bCs/>
                <w:b/>
              </w:rPr>
              <w:t xml:space="preserve">Total Material Mass (per unit):</w:t>
            </w:r>
          </w:p>
        </w:tc>
        <w:tc>
          <w:tcPr/>
          <w:p>
            <w:pPr>
              <w:pStyle w:val="Compact"/>
              <w:jc w:val="left"/>
            </w:pPr>
            <w:r>
              <w:rPr>
                <w:bCs/>
                <w:b/>
              </w:rPr>
              <w:t xml:space="preserve">0.50 kg</w:t>
            </w:r>
          </w:p>
        </w:tc>
      </w:tr>
    </w:tbl>
    <w:bookmarkEnd w:id="29"/>
    <w:bookmarkStart w:id="30" w:name="manufacturing-phase"/>
    <w:p>
      <w:pPr>
        <w:pStyle w:val="Heading3"/>
      </w:pPr>
      <w:r>
        <w:t xml:space="preserve">2.2 Manufacturing Phase</w:t>
      </w:r>
    </w:p>
    <w:p>
      <w:pPr>
        <w:pStyle w:val="FirstParagraph"/>
      </w:pPr>
      <w:r>
        <w:t xml:space="preserve">Production occurs in China with specific energy characteristics: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Energy Intensity</w:t>
            </w:r>
          </w:p>
        </w:tc>
        <w:tc>
          <w:tcPr/>
          <w:p>
            <w:pPr>
              <w:pStyle w:val="Compact"/>
              <w:jc w:val="left"/>
            </w:pPr>
            <w:r>
              <w:t xml:space="preserve">2.5</w:t>
            </w:r>
          </w:p>
        </w:tc>
        <w:tc>
          <w:tcPr/>
          <w:p>
            <w:pPr>
              <w:pStyle w:val="Compact"/>
              <w:jc w:val="left"/>
            </w:pPr>
            <w:r>
              <w:t xml:space="preserve">kWh/unit</w:t>
            </w:r>
          </w:p>
        </w:tc>
        <w:tc>
          <w:tcPr/>
          <w:p>
            <w:pPr>
              <w:pStyle w:val="Compact"/>
              <w:jc w:val="left"/>
            </w:pPr>
            <w:r>
              <w:t xml:space="preserve">Illustrative value for \'gdgthdkhfi\'</w:t>
            </w:r>
          </w:p>
        </w:tc>
      </w:tr>
      <w:tr>
        <w:tc>
          <w:tcPr/>
          <w:p>
            <w:pPr>
              <w:pStyle w:val="Compact"/>
              <w:jc w:val="left"/>
            </w:pPr>
            <w:r>
              <w:t xml:space="preserve">Renewable Energy Usage</w:t>
            </w:r>
          </w:p>
        </w:tc>
        <w:tc>
          <w:tcPr/>
          <w:p>
            <w:pPr>
              <w:pStyle w:val="Compact"/>
              <w:jc w:val="left"/>
            </w:pPr>
            <w:r>
              <w:t xml:space="preserve">60</w:t>
            </w:r>
          </w:p>
        </w:tc>
        <w:tc>
          <w:tcPr/>
          <w:p>
            <w:pPr>
              <w:pStyle w:val="Compact"/>
              <w:jc w:val="left"/>
            </w:pPr>
            <w:r>
              <w:t xml:space="preserve">%</w:t>
            </w:r>
          </w:p>
        </w:tc>
        <w:tc>
          <w:tcPr/>
          <w:p>
            <w:pPr>
              <w:pStyle w:val="Compact"/>
              <w:jc w:val="left"/>
            </w:pPr>
            <w:r>
              <w:t xml:space="preserve">Illustrative value for \'qptlqhsfjw\'</w:t>
            </w:r>
          </w:p>
        </w:tc>
      </w:tr>
      <w:tr>
        <w:tc>
          <w:tcPr/>
          <w:p>
            <w:pPr>
              <w:pStyle w:val="Compact"/>
              <w:jc w:val="left"/>
            </w:pPr>
            <w:r>
              <w:t xml:space="preserve">China Grid Electricity EF</w:t>
            </w:r>
          </w:p>
        </w:tc>
        <w:tc>
          <w:tcPr/>
          <w:p>
            <w:pPr>
              <w:pStyle w:val="Compact"/>
              <w:jc w:val="left"/>
            </w:pPr>
            <w:r>
              <w:t xml:space="preserve">0.58</w:t>
            </w:r>
          </w:p>
        </w:tc>
        <w:tc>
          <w:tcPr/>
          <w:p>
            <w:pPr>
              <w:pStyle w:val="Compact"/>
              <w:jc w:val="left"/>
            </w:pPr>
            <w:r>
              <w:t xml:space="preserve">kg CO2e/kWh</w:t>
            </w:r>
          </w:p>
        </w:tc>
        <w:tc>
          <w:tcPr/>
          <w:p>
            <w:pPr>
              <w:pStyle w:val="Compact"/>
              <w:jc w:val="left"/>
            </w:pPr>
            <w:r>
              <w:t xml:space="preserve">Illustrative average from 2021-2022 data</w:t>
            </w:r>
          </w:p>
        </w:tc>
      </w:tr>
    </w:tbl>
    <w:bookmarkEnd w:id="30"/>
    <w:bookmarkStart w:id="31" w:name="transportation"/>
    <w:p>
      <w:pPr>
        <w:pStyle w:val="Heading3"/>
      </w:pPr>
      <w:r>
        <w:t xml:space="preserve">2.3 Transportation</w:t>
      </w:r>
    </w:p>
    <w:p>
      <w:pPr>
        <w:pStyle w:val="FirstParagraph"/>
      </w:pPr>
      <w:r>
        <w:t xml:space="preserve">Logistics details for the product\'s supply chain are as follows: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w:t>
            </w:r>
          </w:p>
        </w:tc>
        <w:tc>
          <w:tcPr/>
          <w:p>
            <w:pPr>
              <w:pStyle w:val="Compact"/>
              <w:jc w:val="left"/>
            </w:pPr>
            <w:r>
              <w:t xml:space="preserve">Mass (per unit)</w:t>
            </w:r>
          </w:p>
        </w:tc>
        <w:tc>
          <w:tcPr/>
          <w:p>
            <w:pPr>
              <w:pStyle w:val="Compact"/>
              <w:jc w:val="left"/>
            </w:pPr>
            <w:r>
              <w:t xml:space="preserve">Emission Factor</w:t>
            </w:r>
          </w:p>
        </w:tc>
        <w:tc>
          <w:tcPr/>
          <w:p>
            <w:pPr>
              <w:pStyle w:val="Compact"/>
              <w:jc w:val="left"/>
            </w:pPr>
            <w:r>
              <w:t xml:space="preserve">Notes</w:t>
            </w:r>
          </w:p>
        </w:tc>
      </w:tr>
      <w:tr>
        <w:tc>
          <w:tcPr/>
          <w:p>
            <w:pPr>
              <w:pStyle w:val="Compact"/>
              <w:jc w:val="left"/>
            </w:pPr>
            <w:r>
              <w:t xml:space="preserve">Inbound (Europe to China)</w:t>
            </w:r>
          </w:p>
        </w:tc>
        <w:tc>
          <w:tcPr/>
          <w:p>
            <w:pPr>
              <w:pStyle w:val="Compact"/>
              <w:jc w:val="left"/>
            </w:pPr>
            <w:r>
              <w:t xml:space="preserve">Ocean Freight</w:t>
            </w:r>
          </w:p>
        </w:tc>
        <w:tc>
          <w:tcPr/>
          <w:p>
            <w:pPr>
              <w:pStyle w:val="Compact"/>
              <w:jc w:val="left"/>
            </w:pPr>
            <w:r>
              <w:t xml:space="preserve">15,000 km</w:t>
            </w:r>
          </w:p>
        </w:tc>
        <w:tc>
          <w:tcPr/>
          <w:p>
            <w:pPr>
              <w:pStyle w:val="Compact"/>
              <w:jc w:val="left"/>
            </w:pPr>
            <w:r>
              <w:t xml:space="preserve">0.5 kg</w:t>
            </w:r>
          </w:p>
        </w:tc>
        <w:tc>
          <w:tcPr/>
          <w:p>
            <w:pPr>
              <w:pStyle w:val="Compact"/>
              <w:jc w:val="left"/>
            </w:pPr>
            <w:r>
              <w:t xml:space="preserve">0.016 kg CO2e/tonne-km</w:t>
            </w:r>
          </w:p>
        </w:tc>
        <w:tc>
          <w:tcPr/>
          <w:p>
            <w:pPr>
              <w:pStyle w:val="Compact"/>
              <w:jc w:val="left"/>
            </w:pPr>
            <w:r>
              <w:t xml:space="preserve">Illustrative for \'Select Mode\' and \'kmnxvfjxxq\'. EF based on DEFRA.</w:t>
            </w:r>
          </w:p>
        </w:tc>
      </w:tr>
      <w:tr>
        <w:tc>
          <w:tcPr/>
          <w:p>
            <w:pPr>
              <w:pStyle w:val="Compact"/>
              <w:jc w:val="left"/>
            </w:pPr>
            <w:r>
              <w:t xml:space="preserve">Outbound (China to Distribution/Customer)</w:t>
            </w:r>
          </w:p>
        </w:tc>
        <w:tc>
          <w:tcPr/>
          <w:p>
            <w:pPr>
              <w:pStyle w:val="Compact"/>
              <w:jc w:val="left"/>
            </w:pPr>
            <w:r>
              <w:t xml:space="preserve">Road Freight (HGV)</w:t>
            </w:r>
          </w:p>
        </w:tc>
        <w:tc>
          <w:tcPr/>
          <w:p>
            <w:pPr>
              <w:pStyle w:val="Compact"/>
              <w:jc w:val="left"/>
            </w:pPr>
            <w:r>
              <w:t xml:space="preserve">1,000 km</w:t>
            </w:r>
          </w:p>
        </w:tc>
        <w:tc>
          <w:tcPr/>
          <w:p>
            <w:pPr>
              <w:pStyle w:val="Compact"/>
              <w:jc w:val="left"/>
            </w:pPr>
            <w:r>
              <w:t xml:space="preserve">0.5 kg</w:t>
            </w:r>
          </w:p>
        </w:tc>
        <w:tc>
          <w:tcPr/>
          <w:p>
            <w:pPr>
              <w:pStyle w:val="Compact"/>
              <w:jc w:val="left"/>
            </w:pPr>
            <w:r>
              <w:t xml:space="preserve">0.09 kg CO2e/tonne-km</w:t>
            </w:r>
          </w:p>
        </w:tc>
        <w:tc>
          <w:tcPr/>
          <w:p>
            <w:pPr>
              <w:pStyle w:val="Compact"/>
              <w:jc w:val="left"/>
            </w:pPr>
            <w:r>
              <w:t xml:space="preserve">Illustrative for \'kmnxvfjxxq\'. EF based on typical HGV.</w:t>
            </w:r>
          </w:p>
        </w:tc>
      </w:tr>
      <w:tr>
        <w:tc>
          <w:tcPr/>
          <w:p>
            <w:pPr>
              <w:pStyle w:val="Compact"/>
              <w:jc w:val="left"/>
            </w:pPr>
            <w:r>
              <w:t xml:space="preserve">Last-Mile Delivery</w:t>
            </w:r>
          </w:p>
        </w:tc>
        <w:tc>
          <w:tcPr/>
          <w:p>
            <w:pPr>
              <w:pStyle w:val="Compact"/>
              <w:jc w:val="left"/>
            </w:pPr>
            <w:r>
              <w:t xml:space="preserve">Van Delivery</w:t>
            </w:r>
          </w:p>
        </w:tc>
        <w:tc>
          <w:tcPr/>
          <w:p>
            <w:pPr>
              <w:pStyle w:val="Compact"/>
              <w:jc w:val="left"/>
            </w:pPr>
            <w:r>
              <w:t xml:space="preserve">50 km (per 10 units)</w:t>
            </w:r>
          </w:p>
        </w:tc>
        <w:tc>
          <w:tcPr/>
          <w:p>
            <w:pPr>
              <w:pStyle w:val="Compact"/>
              <w:jc w:val="left"/>
            </w:pPr>
            <w:r>
              <w:t xml:space="preserve">0.5 kg</w:t>
            </w:r>
          </w:p>
        </w:tc>
        <w:tc>
          <w:tcPr/>
          <w:p>
            <w:pPr>
              <w:pStyle w:val="Compact"/>
              <w:jc w:val="left"/>
            </w:pPr>
            <w:r>
              <w:t xml:space="preserve">0.25 kg CO2e/km (van)</w:t>
            </w:r>
          </w:p>
        </w:tc>
        <w:tc>
          <w:tcPr/>
          <w:p>
            <w:pPr>
              <w:pStyle w:val="Compact"/>
              <w:jc w:val="left"/>
            </w:pPr>
            <w:r>
              <w:t xml:space="preserve">Illustrative for \'Delivery Type\'. EF based on average van.</w:t>
            </w:r>
          </w:p>
        </w:tc>
      </w:tr>
    </w:tbl>
    <w:bookmarkEnd w:id="31"/>
    <w:bookmarkStart w:id="32" w:name="use-phase"/>
    <w:p>
      <w:pPr>
        <w:pStyle w:val="Heading3"/>
      </w:pPr>
      <w:r>
        <w:t xml:space="preserve">2.4 Use Phase</w:t>
      </w:r>
    </w:p>
    <w:p>
      <w:pPr>
        <w:pStyle w:val="FirstParagraph"/>
      </w:pPr>
      <w:r>
        <w:t xml:space="preserve">The product\'s use-phase characteristics are: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w:t>
            </w:r>
          </w:p>
        </w:tc>
        <w:tc>
          <w:tcPr/>
          <w:p>
            <w:pPr>
              <w:pStyle w:val="Compact"/>
              <w:jc w:val="left"/>
            </w:pPr>
            <w:r>
              <w:t xml:space="preserve">3</w:t>
            </w:r>
          </w:p>
        </w:tc>
        <w:tc>
          <w:tcPr/>
          <w:p>
            <w:pPr>
              <w:pStyle w:val="Compact"/>
              <w:jc w:val="left"/>
            </w:pPr>
            <w:r>
              <w:t xml:space="preserve">years</w:t>
            </w:r>
          </w:p>
        </w:tc>
        <w:tc>
          <w:tcPr/>
          <w:p>
            <w:pPr>
              <w:pStyle w:val="Compact"/>
              <w:jc w:val="left"/>
            </w:pPr>
            <w:r>
              <w:t xml:space="preserve">Illustrative value for \'jwhmhfktkv\'</w:t>
            </w:r>
          </w:p>
        </w:tc>
      </w:tr>
      <w:tr>
        <w:tc>
          <w:tcPr/>
          <w:p>
            <w:pPr>
              <w:pStyle w:val="Compact"/>
              <w:jc w:val="left"/>
            </w:pPr>
            <w:r>
              <w:t xml:space="preserve">Energy Consumption in Use</w:t>
            </w:r>
          </w:p>
        </w:tc>
        <w:tc>
          <w:tcPr/>
          <w:p>
            <w:pPr>
              <w:pStyle w:val="Compact"/>
              <w:jc w:val="left"/>
            </w:pPr>
            <w:r>
              <w:t xml:space="preserve">5</w:t>
            </w:r>
          </w:p>
        </w:tc>
        <w:tc>
          <w:tcPr/>
          <w:p>
            <w:pPr>
              <w:pStyle w:val="Compact"/>
              <w:jc w:val="left"/>
            </w:pPr>
            <w:r>
              <w:t xml:space="preserve">kWh/year</w:t>
            </w:r>
          </w:p>
        </w:tc>
        <w:tc>
          <w:tcPr/>
          <w:p>
            <w:pPr>
              <w:pStyle w:val="Compact"/>
              <w:jc w:val="left"/>
            </w:pPr>
            <w:r>
              <w:t xml:space="preserve">Illustrative value for \'tqmjvkhqdq\'</w:t>
            </w:r>
          </w:p>
        </w:tc>
      </w:tr>
      <w:tr>
        <w:tc>
          <w:tcPr/>
          <w:p>
            <w:pPr>
              <w:pStyle w:val="Compact"/>
              <w:jc w:val="left"/>
            </w:pPr>
            <w:r>
              <w:t xml:space="preserve">User Electricity EF (Europe-focused)</w:t>
            </w:r>
          </w:p>
        </w:tc>
        <w:tc>
          <w:tcPr/>
          <w:p>
            <w:pPr>
              <w:pStyle w:val="Compact"/>
              <w:jc w:val="left"/>
            </w:pPr>
            <w:r>
              <w:t xml:space="preserve">0.35</w:t>
            </w:r>
          </w:p>
        </w:tc>
        <w:tc>
          <w:tcPr/>
          <w:p>
            <w:pPr>
              <w:pStyle w:val="Compact"/>
              <w:jc w:val="left"/>
            </w:pPr>
            <w:r>
              <w:t xml:space="preserve">kg CO2e/kWh</w:t>
            </w:r>
          </w:p>
        </w:tc>
        <w:tc>
          <w:tcPr/>
          <w:p>
            <w:pPr>
              <w:pStyle w:val="Compact"/>
              <w:jc w:val="left"/>
            </w:pPr>
            <w:r>
              <w:t xml:space="preserve">Illustrative average for European electricity mix</w:t>
            </w:r>
          </w:p>
        </w:tc>
      </w:tr>
    </w:tbl>
    <w:bookmarkEnd w:id="32"/>
    <w:bookmarkStart w:id="33" w:name="end-of-life-eol"/>
    <w:p>
      <w:pPr>
        <w:pStyle w:val="Heading3"/>
      </w:pPr>
      <w:r>
        <w:t xml:space="preserve">2.5 End-of-Life (EoL)</w:t>
      </w:r>
    </w:p>
    <w:p>
      <w:pPr>
        <w:pStyle w:val="FirstParagraph"/>
      </w:pPr>
      <w:r>
        <w:t xml:space="preserve">The EoL scenario accounts for recyclability and circular economy initiatives: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Recyclability Percentage</w:t>
            </w:r>
          </w:p>
        </w:tc>
        <w:tc>
          <w:tcPr/>
          <w:p>
            <w:pPr>
              <w:pStyle w:val="Compact"/>
              <w:jc w:val="left"/>
            </w:pPr>
            <w:r>
              <w:t xml:space="preserve">80</w:t>
            </w:r>
          </w:p>
        </w:tc>
        <w:tc>
          <w:tcPr/>
          <w:p>
            <w:pPr>
              <w:pStyle w:val="Compact"/>
              <w:jc w:val="left"/>
            </w:pPr>
            <w:r>
              <w:t xml:space="preserve">%</w:t>
            </w:r>
          </w:p>
        </w:tc>
        <w:tc>
          <w:tcPr/>
          <w:p>
            <w:pPr>
              <w:pStyle w:val="Compact"/>
              <w:jc w:val="left"/>
            </w:pPr>
            <w:r>
              <w:t xml:space="preserve">Illustrative value for \'ljjudkwrhw\'</w:t>
            </w:r>
          </w:p>
        </w:tc>
      </w:tr>
      <w:tr>
        <w:tc>
          <w:tcPr/>
          <w:p>
            <w:pPr>
              <w:pStyle w:val="Compact"/>
              <w:jc w:val="left"/>
            </w:pPr>
            <w:r>
              <w:t xml:space="preserve">Circular/Take-back Programs</w:t>
            </w:r>
          </w:p>
        </w:tc>
        <w:tc>
          <w:tcPr/>
          <w:p>
            <w:pPr>
              <w:pStyle w:val="Compact"/>
              <w:jc w:val="left"/>
            </w:pPr>
            <w:r>
              <w:t xml:space="preserve">Company-led product take-back program established</w:t>
            </w:r>
          </w:p>
        </w:tc>
        <w:tc>
          <w:tcPr/>
          <w:p>
            <w:pPr>
              <w:pStyle w:val="Compact"/>
              <w:jc w:val="left"/>
            </w:pPr>
            <w:r>
              <w:t xml:space="preserve">-</w:t>
            </w:r>
          </w:p>
        </w:tc>
        <w:tc>
          <w:tcPr/>
          <w:p>
            <w:pPr>
              <w:pStyle w:val="Compact"/>
              <w:jc w:val="left"/>
            </w:pPr>
            <w:r>
              <w:t xml:space="preserve">Illustrative for \'olhfhuoueh\'</w:t>
            </w:r>
          </w:p>
        </w:tc>
      </w:tr>
      <w:tr>
        <w:tc>
          <w:tcPr/>
          <w:p>
            <w:pPr>
              <w:pStyle w:val="Compact"/>
              <w:jc w:val="left"/>
            </w:pPr>
            <w:r>
              <w:t xml:space="preserve">Mixed Landfill EF</w:t>
            </w:r>
          </w:p>
        </w:tc>
        <w:tc>
          <w:tcPr/>
          <w:p>
            <w:pPr>
              <w:pStyle w:val="Compact"/>
              <w:jc w:val="left"/>
            </w:pPr>
            <w:r>
              <w:t xml:space="preserve">0.1</w:t>
            </w:r>
          </w:p>
        </w:tc>
        <w:tc>
          <w:tcPr/>
          <w:p>
            <w:pPr>
              <w:pStyle w:val="Compact"/>
              <w:jc w:val="left"/>
            </w:pPr>
            <w:r>
              <w:t xml:space="preserve">kg CO2e/kg</w:t>
            </w:r>
          </w:p>
        </w:tc>
        <w:tc>
          <w:tcPr/>
          <w:p>
            <w:pPr>
              <w:pStyle w:val="Compact"/>
              <w:jc w:val="left"/>
            </w:pPr>
            <w:r>
              <w:t xml:space="preserve">Illustrative factor for general waste to landfill.</w:t>
            </w:r>
          </w:p>
        </w:tc>
      </w:tr>
    </w:tbl>
    <w:p>
      <w:r>
        <w:pict>
          <v:rect style="width:0;height:1.5pt" o:hralign="center" o:hrstd="t" o:hr="t"/>
        </w:pict>
      </w:r>
    </w:p>
    <w:bookmarkEnd w:id="33"/>
    <w:bookmarkEnd w:id="34"/>
    <w:bookmarkStart w:id="43" w:name="emission-calculation-step-4"/>
    <w:p>
      <w:pPr>
        <w:pStyle w:val="Heading2"/>
      </w:pPr>
      <w:r>
        <w:t xml:space="preserve">3. Emission Calculation (Step 4)</w:t>
      </w:r>
    </w:p>
    <w:p>
      <w:pPr>
        <w:pStyle w:val="FirstParagraph"/>
      </w:pPr>
      <w:r>
        <w:t xml:space="preserve">Emissions are calculated using the formula: Activity Data × Emission Factor = CO2e. Industry-standard emission factors (illustrative, based on typical databases like Ecoinvent and DEFRA) have been applied.</w:t>
      </w:r>
    </w:p>
    <w:bookmarkStart w:id="41" w:name="X318c1cf669c698c4b48b5b456ed463b8f2a0d65"/>
    <w:p>
      <w:pPr>
        <w:pStyle w:val="Heading3"/>
      </w:pPr>
      <w:r>
        <w:t xml:space="preserve">3.1 Emissions by Lifecycle Stage and GHG Protocol Scope</w:t>
      </w:r>
    </w:p>
    <w:bookmarkStart w:id="35" w:name="scope-1-direct-emissions"/>
    <w:p>
      <w:pPr>
        <w:pStyle w:val="Heading4"/>
      </w:pPr>
      <w:r>
        <w:t xml:space="preserve">Scope 1: Direct Emissions</w:t>
      </w:r>
    </w:p>
    <w:p>
      <w:pPr>
        <w:pStyle w:val="FirstParagraph"/>
      </w:pPr>
      <w:r>
        <w:t xml:space="preserve">For ppzghmxtvo, direct emissions (Scope 1) from manufacturing operations are assumed to be negligible or zero for this product-level analysis, as the focus is on upstream and downstream indirect emissions.</w:t>
      </w:r>
    </w:p>
    <w:p>
      <w:pPr>
        <w:numPr>
          <w:ilvl w:val="0"/>
          <w:numId w:val="1006"/>
        </w:numPr>
        <w:pStyle w:val="Compact"/>
      </w:pPr>
      <w:r>
        <w:rPr>
          <w:bCs/>
          <w:b/>
        </w:rPr>
        <w:t xml:space="preserve">Total Scope 1 Emissions: 0.00 kg CO2e</w:t>
      </w:r>
    </w:p>
    <w:bookmarkEnd w:id="35"/>
    <w:bookmarkStart w:id="36" w:name="scope-2-purchased-energy-emissions"/>
    <w:p>
      <w:pPr>
        <w:pStyle w:val="Heading4"/>
      </w:pPr>
      <w:r>
        <w:t xml:space="preserve">Scope 2: Purchased Energy Emissions</w:t>
      </w:r>
    </w:p>
    <w:p>
      <w:pPr>
        <w:pStyle w:val="FirstParagraph"/>
      </w:pPr>
      <w:r>
        <w:t xml:space="preserve">Scope 2 emissions account for indirect emissions from the generation of purchased electricity for the manufacturing process in China.</w:t>
      </w:r>
    </w:p>
    <w:p>
      <w:pPr>
        <w:numPr>
          <w:ilvl w:val="0"/>
          <w:numId w:val="1007"/>
        </w:numPr>
        <w:pStyle w:val="Compact"/>
      </w:pPr>
      <w:r>
        <w:t xml:space="preserve">Manufacturing Energy Consumption: 2.5 kWh/unit</w:t>
      </w:r>
    </w:p>
    <w:p>
      <w:pPr>
        <w:numPr>
          <w:ilvl w:val="0"/>
          <w:numId w:val="1007"/>
        </w:numPr>
        <w:pStyle w:val="Compact"/>
      </w:pPr>
      <w:r>
        <w:t xml:space="preserve">Non-renewable electricity percentage: (100% - 60% Renewable Usage) = 40%</w:t>
      </w:r>
    </w:p>
    <w:p>
      <w:pPr>
        <w:numPr>
          <w:ilvl w:val="0"/>
          <w:numId w:val="1007"/>
        </w:numPr>
        <w:pStyle w:val="Compact"/>
      </w:pPr>
      <w:r>
        <w:t xml:space="preserve">Emissions: 2.5 kWh/unit × 0.40 × 0.58 kg CO2e/kWh (China Grid EF) = 0.58 kg CO2e/unit.</w:t>
      </w:r>
    </w:p>
    <w:p>
      <w:pPr>
        <w:numPr>
          <w:ilvl w:val="0"/>
          <w:numId w:val="1007"/>
        </w:numPr>
        <w:pStyle w:val="Compact"/>
      </w:pPr>
      <w:r>
        <w:rPr>
          <w:bCs/>
          <w:b/>
        </w:rPr>
        <w:t xml:space="preserve">Total Scope 2 Emissions: 0.58 kg CO2e</w:t>
      </w:r>
    </w:p>
    <w:bookmarkEnd w:id="36"/>
    <w:bookmarkStart w:id="39" w:name="scope-3-value-chain-emissions"/>
    <w:p>
      <w:pPr>
        <w:pStyle w:val="Heading4"/>
      </w:pPr>
      <w:r>
        <w:t xml:space="preserve">Scope 3: Value Chain Emissions</w:t>
      </w:r>
    </w:p>
    <w:p>
      <w:pPr>
        <w:pStyle w:val="FirstParagraph"/>
      </w:pPr>
      <w:r>
        <w:t xml:space="preserve">Scope 3 emissions encompass all other indirect emissions from the value chain, both upstream (e.g., raw materials, inbound transport) and downstream (e.g., outbound transport, use phase, end-of-life). This category typically represents the largest portion of a product\'s carbon footprint.</w:t>
      </w:r>
    </w:p>
    <w:p>
      <w:pPr>
        <w:numPr>
          <w:ilvl w:val="0"/>
          <w:numId w:val="1008"/>
        </w:numPr>
        <w:pStyle w:val="Compact"/>
      </w:pPr>
      <w:r>
        <w:t xml:space="preserve">The analysis includes emissions across all relevant upstream and downstream categories, ensuring high coverage (targeting &gt;95% as per 2026 GHG Protocol requirements).</w:t>
      </w:r>
    </w:p>
    <w:bookmarkStart w:id="37" w:name="upstream-scope-3-emissions"/>
    <w:p>
      <w:pPr>
        <w:pStyle w:val="Heading5"/>
      </w:pPr>
      <w:r>
        <w:t xml:space="preserve">Upstream Scope 3 Emissions</w:t>
      </w:r>
    </w:p>
    <w:p>
      <w:pPr>
        <w:numPr>
          <w:ilvl w:val="0"/>
          <w:numId w:val="1009"/>
        </w:numPr>
        <w:pStyle w:val="Compact"/>
      </w:pPr>
      <w:r>
        <w:rPr>
          <w:bCs/>
          <w:b/>
        </w:rPr>
        <w:t xml:space="preserve">Material Acquisition &amp; Pre-processing:</w:t>
      </w:r>
    </w:p>
    <w:p>
      <w:pPr>
        <w:numPr>
          <w:ilvl w:val="1"/>
          <w:numId w:val="1010"/>
        </w:numPr>
        <w:pStyle w:val="Compact"/>
      </w:pPr>
      <w:r>
        <w:t xml:space="preserve">Plastic Casing: 0.70 kg CO2e</w:t>
      </w:r>
    </w:p>
    <w:p>
      <w:pPr>
        <w:numPr>
          <w:ilvl w:val="1"/>
          <w:numId w:val="1010"/>
        </w:numPr>
        <w:pStyle w:val="Compact"/>
      </w:pPr>
      <w:r>
        <w:t xml:space="preserve">Metal Screws: 0.30 kg CO2e</w:t>
      </w:r>
    </w:p>
    <w:p>
      <w:pPr>
        <w:numPr>
          <w:ilvl w:val="1"/>
          <w:numId w:val="1010"/>
        </w:numPr>
        <w:pStyle w:val="Compact"/>
      </w:pPr>
      <w:r>
        <w:t xml:space="preserve">Circuit Board: 1.50 kg CO2e</w:t>
      </w:r>
    </w:p>
    <w:p>
      <w:pPr>
        <w:numPr>
          <w:ilvl w:val="1"/>
          <w:numId w:val="1010"/>
        </w:numPr>
        <w:pStyle w:val="Compact"/>
      </w:pPr>
      <w:r>
        <w:t xml:space="preserve">Packaging Cardboard: 0.15 kg CO2e</w:t>
      </w:r>
    </w:p>
    <w:p>
      <w:pPr>
        <w:numPr>
          <w:ilvl w:val="1"/>
          <w:numId w:val="1010"/>
        </w:numPr>
        <w:pStyle w:val="Compact"/>
      </w:pPr>
      <w:r>
        <w:rPr>
          <w:bCs/>
          <w:b/>
        </w:rPr>
        <w:t xml:space="preserve">Subtotal Materials: 2.65 kg CO2e</w:t>
      </w:r>
    </w:p>
    <w:p>
      <w:pPr>
        <w:numPr>
          <w:ilvl w:val="0"/>
          <w:numId w:val="1009"/>
        </w:numPr>
        <w:pStyle w:val="Compact"/>
      </w:pPr>
      <w:r>
        <w:rPr>
          <w:bCs/>
          <w:b/>
        </w:rPr>
        <w:t xml:space="preserve">Inbound Transportation:</w:t>
      </w:r>
    </w:p>
    <w:p>
      <w:pPr>
        <w:numPr>
          <w:ilvl w:val="1"/>
          <w:numId w:val="1011"/>
        </w:numPr>
        <w:pStyle w:val="Compact"/>
      </w:pPr>
      <w:r>
        <w:t xml:space="preserve">Product Mass: 0.5 kg</w:t>
      </w:r>
    </w:p>
    <w:p>
      <w:pPr>
        <w:numPr>
          <w:ilvl w:val="1"/>
          <w:numId w:val="1011"/>
        </w:numPr>
        <w:pStyle w:val="Compact"/>
      </w:pPr>
      <w:r>
        <w:t xml:space="preserve">Distance: 15,000 km (Ocean Freight)</w:t>
      </w:r>
    </w:p>
    <w:p>
      <w:pPr>
        <w:numPr>
          <w:ilvl w:val="1"/>
          <w:numId w:val="1011"/>
        </w:numPr>
        <w:pStyle w:val="Compact"/>
      </w:pPr>
      <w:r>
        <w:t xml:space="preserve">Emissions: 0.5 kg × (1/1000 tonne/kg) × 15,000 km × 0.016 kg CO2e/tonne-km = 0.12 kg CO2e.</w:t>
      </w:r>
    </w:p>
    <w:p>
      <w:pPr>
        <w:numPr>
          <w:ilvl w:val="1"/>
          <w:numId w:val="1011"/>
        </w:numPr>
        <w:pStyle w:val="Compact"/>
      </w:pPr>
      <w:r>
        <w:rPr>
          <w:bCs/>
          <w:b/>
        </w:rPr>
        <w:t xml:space="preserve">Subtotal Inbound Transport: 0.12 kg CO2e</w:t>
      </w:r>
    </w:p>
    <w:p>
      <w:pPr>
        <w:numPr>
          <w:ilvl w:val="0"/>
          <w:numId w:val="1009"/>
        </w:numPr>
        <w:pStyle w:val="Compact"/>
      </w:pPr>
      <w:r>
        <w:rPr>
          <w:bCs/>
          <w:b/>
        </w:rPr>
        <w:t xml:space="preserve">Total Upstream Scope 3: 2.65 + 0.12 = 2.77 kg CO2e</w:t>
      </w:r>
    </w:p>
    <w:bookmarkEnd w:id="37"/>
    <w:bookmarkStart w:id="38" w:name="downstream-scope-3-emissions"/>
    <w:p>
      <w:pPr>
        <w:pStyle w:val="Heading5"/>
      </w:pPr>
      <w:r>
        <w:t xml:space="preserve">Downstream Scope 3 Emissions</w:t>
      </w:r>
    </w:p>
    <w:p>
      <w:pPr>
        <w:numPr>
          <w:ilvl w:val="0"/>
          <w:numId w:val="1012"/>
        </w:numPr>
        <w:pStyle w:val="Compact"/>
      </w:pPr>
      <w:r>
        <w:rPr>
          <w:bCs/>
          <w:b/>
        </w:rPr>
        <w:t xml:space="preserve">Outbound Transportation &amp; Distribution:</w:t>
      </w:r>
    </w:p>
    <w:p>
      <w:pPr>
        <w:numPr>
          <w:ilvl w:val="1"/>
          <w:numId w:val="1013"/>
        </w:numPr>
        <w:pStyle w:val="Compact"/>
      </w:pPr>
      <w:r>
        <w:t xml:space="preserve">Product Mass: 0.5 kg</w:t>
      </w:r>
    </w:p>
    <w:p>
      <w:pPr>
        <w:numPr>
          <w:ilvl w:val="1"/>
          <w:numId w:val="1013"/>
        </w:numPr>
        <w:pStyle w:val="Compact"/>
      </w:pPr>
      <w:r>
        <w:t xml:space="preserve">Main Haul (Road Freight HGV): 0.5 kg × (1/1000 tonne/kg) × 1,000 km × 0.09 kg CO2e/tonne-km = 0.045 kg CO2e.</w:t>
      </w:r>
    </w:p>
    <w:p>
      <w:pPr>
        <w:numPr>
          <w:ilvl w:val="1"/>
          <w:numId w:val="1013"/>
        </w:numPr>
        <w:pStyle w:val="Compact"/>
      </w:pPr>
      <w:r>
        <w:t xml:space="preserve">Last-Mile (Van Delivery): (0.25 kg CO2e/km × 50 km) / 10 units = 1.25 kg CO2e/unit.</w:t>
      </w:r>
    </w:p>
    <w:p>
      <w:pPr>
        <w:numPr>
          <w:ilvl w:val="1"/>
          <w:numId w:val="1013"/>
        </w:numPr>
        <w:pStyle w:val="Compact"/>
      </w:pPr>
      <w:r>
        <w:rPr>
          <w:bCs/>
          <w:b/>
        </w:rPr>
        <w:t xml:space="preserve">Subtotal Outbound Transport: 0.045 + 1.25 = 1.295 kg CO2e</w:t>
      </w:r>
    </w:p>
    <w:p>
      <w:pPr>
        <w:numPr>
          <w:ilvl w:val="0"/>
          <w:numId w:val="1012"/>
        </w:numPr>
        <w:pStyle w:val="Compact"/>
      </w:pPr>
      <w:r>
        <w:rPr>
          <w:bCs/>
          <w:b/>
        </w:rPr>
        <w:t xml:space="preserve">Use Phase:</w:t>
      </w:r>
    </w:p>
    <w:p>
      <w:pPr>
        <w:numPr>
          <w:ilvl w:val="1"/>
          <w:numId w:val="1014"/>
        </w:numPr>
        <w:pStyle w:val="Compact"/>
      </w:pPr>
      <w:r>
        <w:t xml:space="preserve">Total Energy Consumption: 3 years × 5 kWh/year = 15 kWh</w:t>
      </w:r>
    </w:p>
    <w:p>
      <w:pPr>
        <w:numPr>
          <w:ilvl w:val="1"/>
          <w:numId w:val="1014"/>
        </w:numPr>
        <w:pStyle w:val="Compact"/>
      </w:pPr>
      <w:r>
        <w:t xml:space="preserve">Emissions: 15 kWh × 0.35 kg CO2e/kWh (User Electricity EF) = 5.25 kg CO2e</w:t>
      </w:r>
    </w:p>
    <w:p>
      <w:pPr>
        <w:numPr>
          <w:ilvl w:val="1"/>
          <w:numId w:val="1014"/>
        </w:numPr>
        <w:pStyle w:val="Compact"/>
      </w:pPr>
      <w:r>
        <w:rPr>
          <w:bCs/>
          <w:b/>
        </w:rPr>
        <w:t xml:space="preserve">Subtotal Use Phase: 5.25 kg CO2e</w:t>
      </w:r>
    </w:p>
    <w:p>
      <w:pPr>
        <w:numPr>
          <w:ilvl w:val="0"/>
          <w:numId w:val="1012"/>
        </w:numPr>
        <w:pStyle w:val="Compact"/>
      </w:pPr>
      <w:r>
        <w:rPr>
          <w:bCs/>
          <w:b/>
        </w:rPr>
        <w:t xml:space="preserve">End-of-Life (EoL):</w:t>
      </w:r>
    </w:p>
    <w:p>
      <w:pPr>
        <w:numPr>
          <w:ilvl w:val="1"/>
          <w:numId w:val="1015"/>
        </w:numPr>
        <w:pStyle w:val="Compact"/>
      </w:pPr>
      <w:r>
        <w:t xml:space="preserve">Total Product Mass: 0.5 kg</w:t>
      </w:r>
    </w:p>
    <w:p>
      <w:pPr>
        <w:numPr>
          <w:ilvl w:val="1"/>
          <w:numId w:val="1015"/>
        </w:numPr>
        <w:pStyle w:val="Compact"/>
      </w:pPr>
      <w:r>
        <w:t xml:space="preserve">Recycled Portion (80%): 0.4 kg</w:t>
      </w:r>
    </w:p>
    <w:p>
      <w:pPr>
        <w:numPr>
          <w:ilvl w:val="1"/>
          <w:numId w:val="1015"/>
        </w:numPr>
        <w:pStyle w:val="Compact"/>
      </w:pPr>
      <w:r>
        <w:t xml:space="preserve">Disposed Portion (20%): 0.1 kg (plus 0.1 kg from circuit board for disposal)</w:t>
      </w:r>
    </w:p>
    <w:p>
      <w:pPr>
        <w:numPr>
          <w:ilvl w:val="1"/>
          <w:numId w:val="1015"/>
        </w:numPr>
        <w:pStyle w:val="Compact"/>
      </w:pPr>
      <w:r>
        <w:rPr>
          <w:bCs/>
          <w:b/>
        </w:rPr>
        <w:t xml:space="preserve">Recycling Credits:</w:t>
      </w:r>
    </w:p>
    <w:p>
      <w:pPr>
        <w:numPr>
          <w:ilvl w:val="2"/>
          <w:numId w:val="1016"/>
        </w:numPr>
        <w:pStyle w:val="Compact"/>
      </w:pPr>
      <w:r>
        <w:t xml:space="preserve">Plastic (0.16 kg recycled): 0.16 kg × (-1.5 kg CO2e/kg) = -0.24 kg CO2e.</w:t>
      </w:r>
    </w:p>
    <w:p>
      <w:pPr>
        <w:numPr>
          <w:ilvl w:val="2"/>
          <w:numId w:val="1016"/>
        </w:numPr>
        <w:pStyle w:val="Compact"/>
      </w:pPr>
      <w:r>
        <w:t xml:space="preserve">Metal (0.04 kg recycled): 0.04 kg × (-3.0 kg CO2e/kg) = -0.12 kg CO2e.</w:t>
      </w:r>
    </w:p>
    <w:p>
      <w:pPr>
        <w:numPr>
          <w:ilvl w:val="2"/>
          <w:numId w:val="1016"/>
        </w:numPr>
        <w:pStyle w:val="Compact"/>
      </w:pPr>
      <w:r>
        <w:t xml:space="preserve">Cardboard (0.12 kg recycled): 0.12 kg × (-0.46 kg CO2e/kg) = -0.0552 kg CO2e.</w:t>
      </w:r>
    </w:p>
    <w:p>
      <w:pPr>
        <w:numPr>
          <w:ilvl w:val="1"/>
          <w:numId w:val="1015"/>
        </w:numPr>
        <w:pStyle w:val="Compact"/>
      </w:pPr>
      <w:r>
        <w:rPr>
          <w:bCs/>
          <w:b/>
        </w:rPr>
        <w:t xml:space="preserve">Disposal Emissions:</w:t>
      </w:r>
    </w:p>
    <w:p>
      <w:pPr>
        <w:numPr>
          <w:ilvl w:val="2"/>
          <w:numId w:val="1017"/>
        </w:numPr>
        <w:pStyle w:val="Compact"/>
      </w:pPr>
      <w:r>
        <w:t xml:space="preserve">Total disposed mass: 0.1 kg (remaining) + 0.1 kg (circuit board) = 0.2 kg</w:t>
      </w:r>
    </w:p>
    <w:p>
      <w:pPr>
        <w:numPr>
          <w:ilvl w:val="2"/>
          <w:numId w:val="1017"/>
        </w:numPr>
        <w:pStyle w:val="Compact"/>
      </w:pPr>
      <w:r>
        <w:t xml:space="preserve">Emissions: 0.2 kg × 0.1 kg CO2e/kg (Mixed Landfill EF) = 0.02 kg CO2e.</w:t>
      </w:r>
    </w:p>
    <w:p>
      <w:pPr>
        <w:numPr>
          <w:ilvl w:val="1"/>
          <w:numId w:val="1015"/>
        </w:numPr>
        <w:pStyle w:val="Compact"/>
      </w:pPr>
      <w:r>
        <w:rPr>
          <w:bCs/>
          <w:b/>
        </w:rPr>
        <w:t xml:space="preserve">Subtotal EoL: -0.24 - 0.12 - 0.0552 + 0.02 = -0.3952 kg CO2e</w:t>
      </w:r>
    </w:p>
    <w:p>
      <w:pPr>
        <w:numPr>
          <w:ilvl w:val="0"/>
          <w:numId w:val="1012"/>
        </w:numPr>
        <w:pStyle w:val="Compact"/>
      </w:pPr>
      <w:r>
        <w:rPr>
          <w:bCs/>
          <w:b/>
        </w:rPr>
        <w:t xml:space="preserve">Total Downstream Scope 3: 1.295 + 5.25 - 0.3952 = 6.1498 kg CO2e</w:t>
      </w:r>
    </w:p>
    <w:bookmarkEnd w:id="38"/>
    <w:bookmarkEnd w:id="39"/>
    <w:bookmarkStart w:id="40" w:name="summary-of-total-scope-3-emissions"/>
    <w:p>
      <w:pPr>
        <w:pStyle w:val="Heading4"/>
      </w:pPr>
      <w:r>
        <w:t xml:space="preserve">Summary of Total Scope 3 Emissions</w:t>
      </w:r>
    </w:p>
    <w:p>
      <w:pPr>
        <w:numPr>
          <w:ilvl w:val="0"/>
          <w:numId w:val="1018"/>
        </w:numPr>
        <w:pStyle w:val="Compact"/>
      </w:pPr>
      <w:r>
        <w:rPr>
          <w:bCs/>
          <w:b/>
        </w:rPr>
        <w:t xml:space="preserve">Total Scope 3 Emissions: 2.77 (Upstream) + 6.1498 (Downstream) = 8.9198 kg CO2e</w:t>
      </w:r>
    </w:p>
    <w:bookmarkEnd w:id="40"/>
    <w:bookmarkEnd w:id="41"/>
    <w:bookmarkStart w:id="42" w:name="consolidated-emissions-summary"/>
    <w:p>
      <w:pPr>
        <w:pStyle w:val="Heading3"/>
      </w:pPr>
      <w:r>
        <w:t xml:space="preserve">3.2 Consolidated Emissions Summary</w:t>
      </w:r>
    </w:p>
    <w:p>
      <w:pPr>
        <w:pStyle w:val="FirstParagraph"/>
      </w:pPr>
      <w:r>
        <w:t xml:space="preserve">The total Product Carbon Footprint for one functional unit of ppzghmxtvo is presented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2.65</w:t>
            </w:r>
          </w:p>
        </w:tc>
        <w:tc>
          <w:tcPr/>
          <w:p>
            <w:pPr>
              <w:pStyle w:val="Compact"/>
              <w:jc w:val="left"/>
            </w:pPr>
            <w:r>
              <w:t xml:space="preserve">27.90%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0.58</w:t>
            </w:r>
          </w:p>
        </w:tc>
        <w:tc>
          <w:tcPr/>
          <w:p>
            <w:pPr>
              <w:pStyle w:val="Compact"/>
              <w:jc w:val="left"/>
            </w:pPr>
            <w:r>
              <w:t xml:space="preserve">6.11%</w:t>
            </w:r>
          </w:p>
        </w:tc>
      </w:tr>
      <w:tr>
        <w:tc>
          <w:tcPr/>
          <w:p>
            <w:pPr>
              <w:pStyle w:val="Compact"/>
              <w:jc w:val="left"/>
            </w:pPr>
            <w:r>
              <w:t xml:space="preserve">Inbound Transport</w:t>
            </w:r>
          </w:p>
        </w:tc>
        <w:tc>
          <w:tcPr/>
          <w:p>
            <w:pPr>
              <w:pStyle w:val="Compact"/>
              <w:jc w:val="left"/>
            </w:pPr>
            <w:r>
              <w:t xml:space="preserve">Scope 3 (Upstream)</w:t>
            </w:r>
          </w:p>
        </w:tc>
        <w:tc>
          <w:tcPr/>
          <w:p>
            <w:pPr>
              <w:pStyle w:val="Compact"/>
              <w:jc w:val="left"/>
            </w:pPr>
            <w:r>
              <w:t xml:space="preserve">0.12</w:t>
            </w:r>
          </w:p>
        </w:tc>
        <w:tc>
          <w:tcPr/>
          <w:p>
            <w:pPr>
              <w:pStyle w:val="Compact"/>
              <w:jc w:val="left"/>
            </w:pPr>
            <w:r>
              <w:t xml:space="preserve">1.26%</w:t>
            </w:r>
          </w:p>
        </w:tc>
      </w:tr>
      <w:tr>
        <w:tc>
          <w:tcPr/>
          <w:p>
            <w:pPr>
              <w:pStyle w:val="Compact"/>
              <w:jc w:val="left"/>
            </w:pPr>
            <w:r>
              <w:t xml:space="preserve">Outbound Transport &amp; Distribution</w:t>
            </w:r>
          </w:p>
        </w:tc>
        <w:tc>
          <w:tcPr/>
          <w:p>
            <w:pPr>
              <w:pStyle w:val="Compact"/>
              <w:jc w:val="left"/>
            </w:pPr>
            <w:r>
              <w:t xml:space="preserve">Scope 3 (Downstream)</w:t>
            </w:r>
          </w:p>
        </w:tc>
        <w:tc>
          <w:tcPr/>
          <w:p>
            <w:pPr>
              <w:pStyle w:val="Compact"/>
              <w:jc w:val="left"/>
            </w:pPr>
            <w:r>
              <w:t xml:space="preserve">1.295</w:t>
            </w:r>
          </w:p>
        </w:tc>
        <w:tc>
          <w:tcPr/>
          <w:p>
            <w:pPr>
              <w:pStyle w:val="Compact"/>
              <w:jc w:val="left"/>
            </w:pPr>
            <w:r>
              <w:t xml:space="preserve">13.63%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5.25</w:t>
            </w:r>
          </w:p>
        </w:tc>
        <w:tc>
          <w:tcPr/>
          <w:p>
            <w:pPr>
              <w:pStyle w:val="Compact"/>
              <w:jc w:val="left"/>
            </w:pPr>
            <w:r>
              <w:t xml:space="preserve">55.26%</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-0.3952</w:t>
            </w:r>
          </w:p>
        </w:tc>
        <w:tc>
          <w:tcPr/>
          <w:p>
            <w:pPr>
              <w:pStyle w:val="Compact"/>
              <w:jc w:val="left"/>
            </w:pPr>
            <w:r>
              <w:t xml:space="preserve">-4.16%</w:t>
            </w:r>
          </w:p>
        </w:tc>
      </w:tr>
      <w:tr>
        <w:tc>
          <w:tcPr>
            <w:gridSpan w:val="2"/>
          </w:tcPr>
          <w:p>
            <w:pPr>
              <w:pStyle w:val="Compact"/>
              <w:jc w:val="right"/>
            </w:pPr>
            <w:r>
              <w:t xml:space="preserve">TOTAL PRODUCT CARBON FOOTPRINT</w:t>
            </w:r>
          </w:p>
        </w:tc>
        <w:tc>
          <w:tcPr/>
          <w:p>
            <w:pPr>
              <w:pStyle w:val="Compact"/>
              <w:jc w:val="left"/>
            </w:pPr>
            <w:r>
              <w:t xml:space="preserve">9.4998</w:t>
            </w:r>
          </w:p>
        </w:tc>
        <w:tc>
          <w:tcPr/>
          <w:p>
            <w:pPr>
              <w:pStyle w:val="Compact"/>
              <w:jc w:val="left"/>
            </w:pPr>
            <w:r>
              <w:t xml:space="preserve">100.00%</w:t>
            </w:r>
          </w:p>
        </w:tc>
      </w:tr>
    </w:tbl>
    <w:p>
      <w:r>
        <w:pict>
          <v:rect style="width:0;height:1.5pt" o:hralign="center" o:hrstd="t" o:hr="t"/>
        </w:pict>
      </w:r>
    </w:p>
    <w:bookmarkEnd w:id="42"/>
    <w:bookmarkEnd w:id="43"/>
    <w:bookmarkStart w:id="47" w:name="review-reporting-step-5"/>
    <w:p>
      <w:pPr>
        <w:pStyle w:val="Heading2"/>
      </w:pPr>
      <w:r>
        <w:t xml:space="preserve">4. Review &amp; Reporting (Step 5)</w:t>
      </w:r>
    </w:p>
    <w:bookmarkStart w:id="44" w:name="hotspot-identification"/>
    <w:p>
      <w:pPr>
        <w:pStyle w:val="Heading3"/>
      </w:pPr>
      <w:r>
        <w:t xml:space="preserve">4.1 Hotspot Identification</w:t>
      </w:r>
    </w:p>
    <w:p>
      <w:pPr>
        <w:pStyle w:val="FirstParagraph"/>
      </w:pPr>
      <w:r>
        <w:t xml:space="preserve">Based on the analysis, the primary emission hotspots for ppzghmxtvo are:</w:t>
      </w:r>
    </w:p>
    <w:p>
      <w:pPr>
        <w:numPr>
          <w:ilvl w:val="0"/>
          <w:numId w:val="1019"/>
        </w:numPr>
        <w:pStyle w:val="Compact"/>
      </w:pPr>
      <w:r>
        <w:rPr>
          <w:bCs/>
          <w:b/>
        </w:rPr>
        <w:t xml:space="preserve">Use Phase (55.26%):</w:t>
      </w:r>
      <w:r>
        <w:t xml:space="preserve"> </w:t>
      </w:r>
      <w:r>
        <w:t xml:space="preserve">The energy consumption during the product\'s lifespan is the single largest contributor to its carbon footprint.</w:t>
      </w:r>
    </w:p>
    <w:p>
      <w:pPr>
        <w:numPr>
          <w:ilvl w:val="0"/>
          <w:numId w:val="1019"/>
        </w:numPr>
        <w:pStyle w:val="Compact"/>
      </w:pPr>
      <w:r>
        <w:rPr>
          <w:bCs/>
          <w:b/>
        </w:rPr>
        <w:t xml:space="preserve">Material Acquisition &amp; Pre-processing (27.90%):</w:t>
      </w:r>
      <w:r>
        <w:t xml:space="preserve"> </w:t>
      </w:r>
      <w:r>
        <w:t xml:space="preserve">The embodied emissions in raw materials, particularly the circuit board, represent a significant impact.</w:t>
      </w:r>
    </w:p>
    <w:p>
      <w:pPr>
        <w:numPr>
          <w:ilvl w:val="0"/>
          <w:numId w:val="1019"/>
        </w:numPr>
        <w:pStyle w:val="Compact"/>
      </w:pPr>
      <w:r>
        <w:rPr>
          <w:bCs/>
          <w:b/>
        </w:rPr>
        <w:t xml:space="preserve">Outbound Transport &amp; Distribution (13.63%):</w:t>
      </w:r>
      <w:r>
        <w:t xml:space="preserve"> </w:t>
      </w:r>
      <w:r>
        <w:t xml:space="preserve">Downstream logistics, especially last-mile delivery, contribute substantially.</w:t>
      </w:r>
    </w:p>
    <w:bookmarkEnd w:id="44"/>
    <w:bookmarkStart w:id="45" w:name="reliability-and-limitations"/>
    <w:p>
      <w:pPr>
        <w:pStyle w:val="Heading3"/>
      </w:pPr>
      <w:r>
        <w:t xml:space="preserve">4.2 Reliability and Limitations</w:t>
      </w:r>
    </w:p>
    <w:p>
      <w:pPr>
        <w:pStyle w:val="FirstParagraph"/>
      </w:pPr>
      <w:r>
        <w:t xml:space="preserve">The reliability of this report is directly influenced by the quality and specificity of the input data. As noted, several parameters were provided as placeholders, necessitating the use of illustrative, industry-average emission factors and activity data. While these estimates are based on established methodologies (e.g., Ecoinvent/DEFRA principles), primary, product-specific data would enhance accuracy.</w:t>
      </w:r>
    </w:p>
    <w:p>
      <w:pPr>
        <w:pStyle w:val="BodyText"/>
      </w:pPr>
      <w:r>
        <w:t xml:space="preserve">The 2026 LSR Standard for land use and removals has been conceptually incorporated, but detailed land use change data specific to ppzghmxtvo\'s material sourcing was not available and thus not explicitly quantified beyond general material emission factors. The report maintains a commitment to ≥95% Scope 3 coverage by accounting for all significant value chain emissions based on the provided parameters.</w:t>
      </w:r>
    </w:p>
    <w:bookmarkEnd w:id="45"/>
    <w:bookmarkStart w:id="46" w:name="recommendations-for-emission-reduction"/>
    <w:p>
      <w:pPr>
        <w:pStyle w:val="Heading3"/>
      </w:pPr>
      <w:r>
        <w:t xml:space="preserve">4.3 Recommendations for Emission Reduction</w:t>
      </w:r>
    </w:p>
    <w:p>
      <w:pPr>
        <w:pStyle w:val="FirstParagraph"/>
      </w:pPr>
      <w:r>
        <w:t xml:space="preserve">To reduce the PCF of ppzghmxtvo, lmnonhvizl should focus on the following strategic areas:</w:t>
      </w:r>
    </w:p>
    <w:p>
      <w:pPr>
        <w:numPr>
          <w:ilvl w:val="0"/>
          <w:numId w:val="1020"/>
        </w:numPr>
        <w:pStyle w:val="Compact"/>
      </w:pPr>
      <w:r>
        <w:rPr>
          <w:bCs/>
          <w:b/>
        </w:rPr>
        <w:t xml:space="preserve">Optimize Use Phase Efficiency:</w:t>
      </w:r>
      <w:r>
        <w:t xml:space="preserve"> </w:t>
      </w:r>
      <w:r>
        <w:t xml:space="preserve">Invest in R&amp;D to significantly reduce the energy consumption of ppzghmxtvo during its operational lifespan. Encourage users to source renewable energy for product operation.</w:t>
      </w:r>
    </w:p>
    <w:p>
      <w:pPr>
        <w:numPr>
          <w:ilvl w:val="0"/>
          <w:numId w:val="1020"/>
        </w:numPr>
        <w:pStyle w:val="Compact"/>
      </w:pPr>
      <w:r>
        <w:rPr>
          <w:bCs/>
          <w:b/>
        </w:rPr>
        <w:t xml:space="preserve">Sustainable Material Sourcing:</w:t>
      </w:r>
      <w:r>
        <w:t xml:space="preserve"> </w:t>
      </w:r>
      <w:r>
        <w:t xml:space="preserve">Explore alternative materials with lower embodied carbon, prioritize suppliers with robust environmental management systems, and increase the use of recycled content in components like the plastic casing and metal screws.</w:t>
      </w:r>
    </w:p>
    <w:p>
      <w:pPr>
        <w:numPr>
          <w:ilvl w:val="0"/>
          <w:numId w:val="1020"/>
        </w:numPr>
        <w:pStyle w:val="Compact"/>
      </w:pPr>
      <w:r>
        <w:rPr>
          <w:bCs/>
          <w:b/>
        </w:rPr>
        <w:t xml:space="preserve">Enhance Circularity:</w:t>
      </w:r>
      <w:r>
        <w:t xml:space="preserve"> </w:t>
      </w:r>
      <w:r>
        <w:t xml:space="preserve">Leverage the "Company-led product take-back program established" (\'olhfhuoueh\') to maximize collection and recycling rates, further increasing the positive impact of End-of-Life credits and minimizing waste. Explore design for disassembly and repair to extend product lifespan.</w:t>
      </w:r>
    </w:p>
    <w:p>
      <w:pPr>
        <w:numPr>
          <w:ilvl w:val="0"/>
          <w:numId w:val="1020"/>
        </w:numPr>
        <w:pStyle w:val="Compact"/>
      </w:pPr>
      <w:r>
        <w:rPr>
          <w:bCs/>
          <w:b/>
        </w:rPr>
        <w:t xml:space="preserve">Logistics Optimization:</w:t>
      </w:r>
      <w:r>
        <w:t xml:space="preserve"> </w:t>
      </w:r>
      <w:r>
        <w:t xml:space="preserve">Investigate more efficient transport modes, optimize loading capacity, and explore local sourcing of materials where feasible to reduce transport distances and emissions.</w:t>
      </w:r>
    </w:p>
    <w:p>
      <w:pPr>
        <w:numPr>
          <w:ilvl w:val="0"/>
          <w:numId w:val="1020"/>
        </w:numPr>
        <w:pStyle w:val="Compact"/>
      </w:pPr>
      <w:r>
        <w:rPr>
          <w:bCs/>
          <w:b/>
        </w:rPr>
        <w:t xml:space="preserve">Renewable Energy Integration:</w:t>
      </w:r>
      <w:r>
        <w:t xml:space="preserve"> </w:t>
      </w:r>
      <w:r>
        <w:t xml:space="preserve">Continue to increase renewable energy usage in manufacturing operations in China, beyond the current 60%, to further reduce Scope 2 emissions.</w:t>
      </w:r>
    </w:p>
    <w:p>
      <w:r>
        <w:pict>
          <v:rect style="width:0;height:1.5pt" o:hralign="center" o:hrstd="t" o:hr="t"/>
        </w:pict>
      </w:r>
    </w:p>
    <w:bookmarkEnd w:id="46"/>
    <w:bookmarkEnd w:id="47"/>
    <w:bookmarkStart w:id="48" w:name="disclaimer"/>
    <w:p>
      <w:pPr>
        <w:pStyle w:val="Heading2"/>
      </w:pPr>
      <w:r>
        <w:t xml:space="preserve">Disclaimer</w:t>
      </w:r>
    </w:p>
    <w:p>
      <w:pPr>
        <w:pStyle w:val="FirstParagraph"/>
      </w:pPr>
      <w:r>
        <w:t xml:space="preserve">This Product Carbon Footprint analysis report is based on the parameters and illustrative data provided for ppzghmxtvo. The calculations and recommendations herein are intended for internal guidance and strategic decision-making for lmnonhvizl. While developed in accordance with GHG Protocol standards, a full external audit would require complete primary data for all activities.</w:t>
      </w:r>
    </w:p>
    <w:bookmarkEnd w:id="48"/>
    <w:p>
      <w:pPr>
        <w:pStyle w:val="BodyText"/>
      </w:pPr>
      <w:r>
        <w:t xml:space="preserve">Confidential - Internal Use Only | Page</w:t>
      </w:r>
      <w:r>
        <w:t xml:space="preserve"> </w:t>
      </w:r>
      <w:bookmarkStart w:id="49" w:name="pageNumber"/>
      <w:r>
        <w:t xml:space="preserve">1</w:t>
      </w:r>
      <w:bookmarkEnd w:id="49"/>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ppzghmxtvo</dc:title>
  <dc:creator/>
  <dc:description>Detailed Product Carbon Footprint (PCF) analysis report for ppzghmxtvo, adhering to GHG Protocol standards and 2026 updates.</dc:description>
  <dc:language>en</dc:language>
  <cp:keywords/>
  <dcterms:created xsi:type="dcterms:W3CDTF">2026-07-15T02:35:41Z</dcterms:created>
  <dcterms:modified xsi:type="dcterms:W3CDTF">2026-07-15T02:35:41Z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