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Powerbank</w:t>
      </w:r>
      <w:r>
        <w:t xml:space="preserve"> </w:t>
      </w:r>
      <w:r>
        <w:t xml:space="preserve">100W</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powerbank-100w"/>
    <w:p>
      <w:pPr>
        <w:pStyle w:val="Heading1"/>
      </w:pPr>
      <w:r>
        <w:t xml:space="preserve">Powerbank 100W</w:t>
      </w:r>
    </w:p>
    <w:p>
      <w:pPr>
        <w:pStyle w:val="FirstParagraph"/>
      </w:pPr>
      <w:r>
        <w:rPr>
          <w:bCs/>
          <w:b/>
        </w:rPr>
        <w:t xml:space="preserve">Senior Sustainability Consultant:</w:t>
      </w:r>
      <w:r>
        <w:t xml:space="preserve"> </w:t>
      </w:r>
      <w:r>
        <w:t xml:space="preserve">Gemini AI</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providing an estimate of the product carbon footprint. Actual emissions may vary based on specific supplier data and dynamic operational conditions.</w:t>
      </w:r>
    </w:p>
    <w:bookmarkEnd w:id="21"/>
    <w:bookmarkStart w:id="22" w:name="X78ffc5d6a7a4737180363e584930b1140bc9702"/>
    <w:p>
      <w:pPr>
        <w:pStyle w:val="Heading1"/>
      </w:pPr>
      <w:r>
        <w:t xml:space="preserve">Product Carbon Footprint Report: Powerbank 100W</w:t>
      </w:r>
    </w:p>
    <w:p>
      <w:pPr>
        <w:pStyle w:val="FirstParagraph"/>
      </w:pPr>
      <w:r>
        <w:t xml:space="preserve">Generated Date: August 16,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a 100W power bank, adhering to the Greenhouse Gas (GHG) Protocol standards, with specific consideration for the upcoming 2026 Land Sector and Removals (LSR) Standard update. The assessment covers the \'factory-gate\' system boundary, focusing on raw material acquisition, manufacturing, and upstream transportation for a product manufactured in the Netherlands with a Europe-focused supply chain. The primary objective is to quantify the carbon equivalent emissions (CO2e) per functional unit (1.0 unit of 100W power bank), identify emission hotspots, and ensure robust Scope 3 reporting compliance (aiming for &gt;95% coverage).</w:t>
      </w:r>
    </w:p>
    <w:p>
      <w:r>
        <w:pict>
          <v:rect style="width:0;height:1.5pt" o:hralign="center" o:hrstd="t" o:hr="t"/>
        </w:pict>
      </w:r>
    </w:p>
    <w:bookmarkEnd w:id="23"/>
    <w:bookmarkStart w:id="24" w:name="defining-the-scope"/>
    <w:p>
      <w:pPr>
        <w:pStyle w:val="Heading2"/>
      </w:pPr>
      <w:r>
        <w:t xml:space="preserve">1. Defining the Scope</w:t>
      </w:r>
    </w:p>
    <w:p>
      <w:pPr>
        <w:pStyle w:val="FirstParagraph"/>
      </w:pPr>
      <w:r>
        <w:t xml:space="preserve">The foundational step of this PCF analysis is the precise definition of its scope, ensuring consistency and comparability with GHG Protocol standards.</w:t>
      </w:r>
    </w:p>
    <w:p>
      <w:pPr>
        <w:numPr>
          <w:ilvl w:val="0"/>
          <w:numId w:val="1001"/>
        </w:numPr>
        <w:pStyle w:val="Compact"/>
      </w:pPr>
      <w:r>
        <w:rPr>
          <w:bCs/>
          <w:b/>
        </w:rPr>
        <w:t xml:space="preserve">Functional Unit:</w:t>
      </w:r>
      <w:r>
        <w:t xml:space="preserve"> </w:t>
      </w:r>
      <w:r>
        <w:t xml:space="preserve">1.0 unit of a 100W Power Bank. This unit is capable of delivering 100W of power and has an approximate capacity of 25,000 mAh (equivalent to 92.5 Wh, assuming a nominal voltage of 3.7V per cell for Li-ion batteries).</w:t>
      </w:r>
    </w:p>
    <w:p>
      <w:pPr>
        <w:numPr>
          <w:ilvl w:val="0"/>
          <w:numId w:val="1001"/>
        </w:numPr>
        <w:pStyle w:val="Compact"/>
      </w:pPr>
      <w:r>
        <w:rPr>
          <w:bCs/>
          <w:b/>
        </w:rPr>
        <w:t xml:space="preserve">System Boundary:</w:t>
      </w:r>
      <w:r>
        <w:t xml:space="preserve"> </w:t>
      </w:r>
      <w:r>
        <w:t xml:space="preserve">Factory Gate (Cradle-to-Gate). This boundary encompasses all emissions from raw material extraction, processing, component manufacturing, and transportation up to the point where the finished power bank leaves the final assembly factory in the Netherlands. It excludes emissions from product use phase (e.g., charging/discharging cycles by the end-user) and end-of-life treatment.</w:t>
      </w:r>
    </w:p>
    <w:p>
      <w:pPr>
        <w:numPr>
          <w:ilvl w:val="0"/>
          <w:numId w:val="1001"/>
        </w:numPr>
        <w:pStyle w:val="Compact"/>
      </w:pPr>
      <w:r>
        <w:rPr>
          <w:bCs/>
          <w:b/>
        </w:rPr>
        <w:t xml:space="preserve">Geographic Scope:</w:t>
      </w:r>
      <w:r>
        <w:t xml:space="preserve"> </w:t>
      </w:r>
      <w:r>
        <w:t xml:space="preserve">Final Production Country: Netherlands. Supply Chain Focus: Europe Focused. This implies that while some raw materials may originate globally, component manufacturing and significant transportation routes are primarily within Europe.</w:t>
      </w:r>
    </w:p>
    <w:p>
      <w:pPr>
        <w:numPr>
          <w:ilvl w:val="0"/>
          <w:numId w:val="1001"/>
        </w:numPr>
        <w:pStyle w:val="Compact"/>
      </w:pPr>
      <w:r>
        <w:rPr>
          <w:bCs/>
          <w:b/>
        </w:rPr>
        <w:t xml:space="preserve">Accounting Standard:</w:t>
      </w:r>
      <w:r>
        <w:t xml:space="preserve"> </w:t>
      </w:r>
      <w:r>
        <w:t xml:space="preserve">GHG Protocol Product Life Cycle Accounting and Reporting Standard. This report strictly adheres to the methodologies and categorization requirements set forth by the GHG Protocol, including the classification of emissions into Scope 1, 2, and 3.</w:t>
      </w:r>
    </w:p>
    <w:p>
      <w:pPr>
        <w:numPr>
          <w:ilvl w:val="0"/>
          <w:numId w:val="1001"/>
        </w:numPr>
        <w:pStyle w:val="Compact"/>
      </w:pPr>
      <w:r>
        <w:rPr>
          <w:bCs/>
          <w:b/>
        </w:rPr>
        <w:t xml:space="preserve">Allocation:</w:t>
      </w:r>
      <w:r>
        <w:t xml:space="preserve"> </w:t>
      </w:r>
      <w:r>
        <w:t xml:space="preserve">Given a single product (power bank), direct allocation of emissions is applied. For any shared processes or co-products in the upstream supply chain, allocation methods (e.g., mass-based or economic-based) are assumed to have been applied by upstream data providers in their respective emission factors.</w:t>
      </w:r>
    </w:p>
    <w:p>
      <w:r>
        <w:pict>
          <v:rect style="width:0;height:1.5pt" o:hralign="center" o:hrstd="t" o:hr="t"/>
        </w:pict>
      </w:r>
    </w:p>
    <w:bookmarkEnd w:id="24"/>
    <w:bookmarkStart w:id="27" w:name="Xd6b46738c4124629dd3bea9f41c30a54f49af0b"/>
    <w:p>
      <w:pPr>
        <w:pStyle w:val="Heading2"/>
      </w:pPr>
      <w:r>
        <w:t xml:space="preserve">2. Mapping the Lifecycle &amp; 3. Data Collection (LCI Inventory)</w:t>
      </w:r>
    </w:p>
    <w:p>
      <w:pPr>
        <w:pStyle w:val="FirstParagraph"/>
      </w:pPr>
      <w:r>
        <w:t xml:space="preserve">This section details the key lifecycle stages from a \'cradle-to-gate\' perspective and the associated material and energy inputs. Given the complexity of electronic products, a representative breakdown of a 100W power bank (approx. 500g total weight) is presented.</w:t>
      </w:r>
    </w:p>
    <w:bookmarkStart w:id="25" w:name="material-inputs"/>
    <w:p>
      <w:pPr>
        <w:pStyle w:val="Heading3"/>
      </w:pPr>
      <w:r>
        <w:t xml:space="preserve">Material Inputs:</w:t>
      </w:r>
    </w:p>
    <w:p>
      <w:pPr>
        <w:pStyle w:val="FirstParagraph"/>
      </w:pPr>
      <w:r>
        <w:t xml:space="preserve">Based on typical 100W power bank construction, the primary materials and their estimated weights are:</w:t>
      </w:r>
    </w:p>
    <w:p>
      <w:pPr>
        <w:numPr>
          <w:ilvl w:val="0"/>
          <w:numId w:val="1002"/>
        </w:numPr>
        <w:pStyle w:val="Compact"/>
      </w:pPr>
      <w:r>
        <w:t xml:space="preserve">**Lithium-ion Battery Pack:** This constitutes the largest portion by weight and carbon impact. For a 25,000 mAh (92.5 Wh) capacity power bank, the battery pack is estimated to weigh approximately 200g.</w:t>
      </w:r>
    </w:p>
    <w:p>
      <w:pPr>
        <w:numPr>
          <w:ilvl w:val="0"/>
          <w:numId w:val="1002"/>
        </w:numPr>
        <w:pStyle w:val="Compact"/>
      </w:pPr>
      <w:r>
        <w:t xml:space="preserve">**Aluminum Casing:** Many 100W power banks feature durable aluminum alloy casings. Estimated weight: 150g.</w:t>
      </w:r>
    </w:p>
    <w:p>
      <w:pPr>
        <w:numPr>
          <w:ilvl w:val="0"/>
          <w:numId w:val="1002"/>
        </w:numPr>
        <w:pStyle w:val="Compact"/>
      </w:pPr>
      <w:r>
        <w:t xml:space="preserve">**ABS Plastic:** Used for internal frames, end caps, port housings, and other structural elements. Estimated weight: 80g.</w:t>
      </w:r>
    </w:p>
    <w:p>
      <w:pPr>
        <w:numPr>
          <w:ilvl w:val="0"/>
          <w:numId w:val="1002"/>
        </w:numPr>
        <w:pStyle w:val="Compact"/>
      </w:pPr>
      <w:r>
        <w:t xml:space="preserve">**Printed Circuit Board (PCB) Assembly:** Includes the FR-4 board material, copper traces, and various electronic components (integrated circuits, resistors, capacitors, connectors). Estimated total PCB assembly weight: 50g (approx. 40g FR-4, 10g copper and other components).</w:t>
      </w:r>
    </w:p>
    <w:p>
      <w:pPr>
        <w:numPr>
          <w:ilvl w:val="0"/>
          <w:numId w:val="1002"/>
        </w:numPr>
        <w:pStyle w:val="Compact"/>
      </w:pPr>
      <w:r>
        <w:t xml:space="preserve">**Copper Wiring:** Internal wiring and USB cable conductors (if included in factory-gate packaging). Estimated weight: 10g.</w:t>
      </w:r>
    </w:p>
    <w:p>
      <w:pPr>
        <w:numPr>
          <w:ilvl w:val="0"/>
          <w:numId w:val="1002"/>
        </w:numPr>
        <w:pStyle w:val="Compact"/>
      </w:pPr>
      <w:r>
        <w:t xml:space="preserve">**Other Electronic Components:** Microcontrollers, charging ICs, protection circuits, LEDs. Estimated weight: 10g.</w:t>
      </w:r>
    </w:p>
    <w:p>
      <w:pPr>
        <w:numPr>
          <w:ilvl w:val="0"/>
          <w:numId w:val="1002"/>
        </w:numPr>
        <w:pStyle w:val="Compact"/>
      </w:pPr>
      <w:r>
        <w:t xml:space="preserve">**Packaging:** Cardboard box, paper manual, potential small plastic inserts. Estimated weight: 30g.</w:t>
      </w:r>
    </w:p>
    <w:bookmarkEnd w:id="25"/>
    <w:bookmarkStart w:id="26" w:name="energy-inputs"/>
    <w:p>
      <w:pPr>
        <w:pStyle w:val="Heading3"/>
      </w:pPr>
      <w:r>
        <w:t xml:space="preserve">Energy Inputs:</w:t>
      </w:r>
    </w:p>
    <w:p>
      <w:pPr>
        <w:pStyle w:val="FirstParagraph"/>
      </w:pPr>
      <w:r>
        <w:t xml:space="preserve">Energy is consumed throughout the supply chain and at the final assembly plant. For a \'factory-gate\' boundary in the Netherlands, the most relevant energy inputs are:</w:t>
      </w:r>
    </w:p>
    <w:p>
      <w:pPr>
        <w:numPr>
          <w:ilvl w:val="0"/>
          <w:numId w:val="1003"/>
        </w:numPr>
        <w:pStyle w:val="Compact"/>
      </w:pPr>
      <w:r>
        <w:t xml:space="preserve">**Upstream Manufacturing Energy:** Electricity and fuel used in the production of raw materials (e.g., aluminum smelting, plastic polymerization, battery cell manufacturing, PCB fabrication). These are implicitly covered within the cradle-to-gate emission factors of the materials.</w:t>
      </w:r>
    </w:p>
    <w:p>
      <w:pPr>
        <w:numPr>
          <w:ilvl w:val="0"/>
          <w:numId w:val="1003"/>
        </w:numPr>
        <w:pStyle w:val="Compact"/>
      </w:pPr>
      <w:r>
        <w:t xml:space="preserve">**Final Assembly Energy (Netherlands):** Electricity consumed at the power bank assembly plant for processes like component placement, soldering, testing, and packaging.</w:t>
      </w:r>
    </w:p>
    <w:p>
      <w:pPr>
        <w:numPr>
          <w:ilvl w:val="0"/>
          <w:numId w:val="1003"/>
        </w:numPr>
        <w:pStyle w:val="Compact"/>
      </w:pPr>
      <w:r>
        <w:t xml:space="preserve">**Transportation Fuel:** Diesel for road freight, potentially heavy fuel oil for sea freight (if components from outside Europe are included, though the focus is Europe).</w:t>
      </w:r>
    </w:p>
    <w:p>
      <w:r>
        <w:pict>
          <v:rect style="width:0;height:1.5pt" o:hralign="center" o:hrstd="t" o:hr="t"/>
        </w:pict>
      </w:r>
    </w:p>
    <w:bookmarkEnd w:id="26"/>
    <w:bookmarkEnd w:id="27"/>
    <w:bookmarkStart w:id="34" w:name="X3720d7d0541b3a6e3c473bd4daa188ddb828856"/>
    <w:p>
      <w:pPr>
        <w:pStyle w:val="Heading2"/>
      </w:pPr>
      <w:r>
        <w:t xml:space="preserve">4. Calculating Emissions (Activity * Emission Factor = CO2e)</w:t>
      </w:r>
    </w:p>
    <w:p>
      <w:pPr>
        <w:pStyle w:val="FirstParagraph"/>
      </w:pPr>
      <w:r>
        <w:t xml:space="preserve">Emissions are calculated using the collected data and industry-standard emission factors. All emissions are categorized according to the GHG Protocol\'s Scope 1, 2, and 3 classifications.</w:t>
      </w:r>
    </w:p>
    <w:bookmarkStart w:id="28" w:name="X50ad056a944fd6517a01ef6ba4682e94cdbda51"/>
    <w:p>
      <w:pPr>
        <w:pStyle w:val="Heading3"/>
      </w:pPr>
      <w:r>
        <w:t xml:space="preserve">Emission Factors Used (Representative Values):</w:t>
      </w:r>
    </w:p>
    <w:p>
      <w:pPr>
        <w:pStyle w:val="FirstParagraph"/>
      </w:pPr>
      <w:r>
        <w:t xml:space="preserve">Emission factors are sourced from recognized databases such as Ecoinvent and DEFRA equivalents, aligning with European market conditions where possible:</w:t>
      </w:r>
    </w:p>
    <w:p>
      <w:pPr>
        <w:numPr>
          <w:ilvl w:val="0"/>
          <w:numId w:val="1004"/>
        </w:numPr>
        <w:pStyle w:val="Compact"/>
      </w:pPr>
      <w:r>
        <w:t xml:space="preserve">**Aluminum (primary production, Europe):** 6.6 kg CO2e/kg</w:t>
      </w:r>
    </w:p>
    <w:p>
      <w:pPr>
        <w:numPr>
          <w:ilvl w:val="0"/>
          <w:numId w:val="1004"/>
        </w:numPr>
        <w:pStyle w:val="Compact"/>
      </w:pPr>
      <w:r>
        <w:t xml:space="preserve">**ABS Plastic (virgin, cradle-to-gate):** 3.125 kg CO2e/kg</w:t>
      </w:r>
    </w:p>
    <w:p>
      <w:pPr>
        <w:numPr>
          <w:ilvl w:val="0"/>
          <w:numId w:val="1004"/>
        </w:numPr>
        <w:pStyle w:val="Compact"/>
      </w:pPr>
      <w:r>
        <w:t xml:space="preserve">**Lithium-ion Battery Cell Production:** 60 kg CO2e/kWh capacity</w:t>
      </w:r>
    </w:p>
    <w:p>
      <w:pPr>
        <w:numPr>
          <w:ilvl w:val="0"/>
          <w:numId w:val="1004"/>
        </w:numPr>
        <w:pStyle w:val="Compact"/>
      </w:pPr>
      <w:r>
        <w:t xml:space="preserve">**Copper (primary production):** 4.1 kg CO2e/kg</w:t>
      </w:r>
    </w:p>
    <w:p>
      <w:pPr>
        <w:numPr>
          <w:ilvl w:val="0"/>
          <w:numId w:val="1004"/>
        </w:numPr>
        <w:pStyle w:val="Compact"/>
      </w:pPr>
      <w:r>
        <w:t xml:space="preserve">**FR-4 PCB Material:** 22.5 kg CO2e/kg</w:t>
      </w:r>
    </w:p>
    <w:p>
      <w:pPr>
        <w:numPr>
          <w:ilvl w:val="0"/>
          <w:numId w:val="1004"/>
        </w:numPr>
        <w:pStyle w:val="Compact"/>
      </w:pPr>
      <w:r>
        <w:t xml:space="preserve">**Electricity (Netherlands grid mix, 2025/2026):** 0.388 kg CO2e/kWh</w:t>
      </w:r>
    </w:p>
    <w:p>
      <w:pPr>
        <w:numPr>
          <w:ilvl w:val="0"/>
          <w:numId w:val="1004"/>
        </w:numPr>
        <w:pStyle w:val="Compact"/>
      </w:pPr>
      <w:r>
        <w:t xml:space="preserve">**Road Freight (HGV &gt;20t, Europe, Well-to-Wheel):** 0.092 kg CO2e/tonne-km</w:t>
      </w:r>
    </w:p>
    <w:bookmarkEnd w:id="28"/>
    <w:bookmarkStart w:id="32" w:name="emission-calculation-by-scope"/>
    <w:p>
      <w:pPr>
        <w:pStyle w:val="Heading3"/>
      </w:pPr>
      <w:r>
        <w:t xml:space="preserve">Emission Calculation by Scope:</w:t>
      </w:r>
    </w:p>
    <w:p>
      <w:pPr>
        <w:pStyle w:val="FirstParagraph"/>
      </w:pPr>
      <w:r>
        <w:t xml:space="preserve">For a single 100W Power Bank (92.5 Wh capacity, approx. 0.5 kg total weight):</w:t>
      </w:r>
    </w:p>
    <w:bookmarkStart w:id="29" w:name="scope-1-emissions-direct-emissions"/>
    <w:p>
      <w:pPr>
        <w:pStyle w:val="Heading4"/>
      </w:pPr>
      <w:r>
        <w:t xml:space="preserve">Scope 1 Emissions (Direct Emissions):</w:t>
      </w:r>
    </w:p>
    <w:p>
      <w:pPr>
        <w:pStyle w:val="FirstParagraph"/>
      </w:pPr>
      <w:r>
        <w:t xml:space="preserve">These typically include emissions from owned or controlled sources, such as company vehicles or on-site fuel combustion. For a \'factory-gate\' PCF, significant direct emissions are unlikely unless the final assembly plant directly burns fossil fuels for manufacturing processes. We assume minimal direct combustion at the assembly plant for this product. If present, it would be minor compared to upstream Scope 3. We estimate 0.01 kg CO2e for minor direct emissions (e.g., small testing equipment, incidental fuel use).</w:t>
      </w:r>
    </w:p>
    <w:p>
      <w:pPr>
        <w:pStyle w:val="BodyText"/>
      </w:pPr>
      <w:r>
        <w:rPr>
          <w:bCs/>
          <w:b/>
        </w:rPr>
        <w:t xml:space="preserve">Total Scope 1: ~0.01 kg CO2e</w:t>
      </w:r>
    </w:p>
    <w:bookmarkEnd w:id="29"/>
    <w:bookmarkStart w:id="30" w:name="scope-2-emissions-purchased-energy"/>
    <w:p>
      <w:pPr>
        <w:pStyle w:val="Heading4"/>
      </w:pPr>
      <w:r>
        <w:t xml:space="preserve">Scope 2 Emissions (Purchased Energy):</w:t>
      </w:r>
    </w:p>
    <w:p>
      <w:pPr>
        <w:pStyle w:val="FirstParagraph"/>
      </w:pPr>
      <w:r>
        <w:t xml:space="preserve">These are indirect emissions from the generation of purchased electricity consumed by the final assembly plant in the Netherlands. Assuming the final assembly consumes approximately 0.5 kWh of electricity per unit for assembly, testing, and packaging:</w:t>
      </w:r>
    </w:p>
    <w:p>
      <w:pPr>
        <w:pStyle w:val="BodyText"/>
      </w:pPr>
      <w:r>
        <w:t xml:space="preserve">0.5 kWh * 0.388 kg CO2e/kWh = 0.194 kg CO2e</w:t>
      </w:r>
    </w:p>
    <w:p>
      <w:pPr>
        <w:pStyle w:val="BodyText"/>
      </w:pPr>
      <w:r>
        <w:rPr>
          <w:bCs/>
          <w:b/>
        </w:rPr>
        <w:t xml:space="preserve">Total Scope 2: ~0.19 kg CO2e</w:t>
      </w:r>
    </w:p>
    <w:bookmarkEnd w:id="30"/>
    <w:bookmarkStart w:id="31" w:name="scope-3-emissions-value-chain-emissions"/>
    <w:p>
      <w:pPr>
        <w:pStyle w:val="Heading4"/>
      </w:pPr>
      <w:r>
        <w:t xml:space="preserve">Scope 3 Emissions (Value Chain Emissions):</w:t>
      </w:r>
    </w:p>
    <w:p>
      <w:pPr>
        <w:pStyle w:val="FirstParagraph"/>
      </w:pPr>
      <w:r>
        <w:t xml:space="preserve">This category dominates the PCF for electronic goods and covers upstream emissions from purchased goods and services, and transportation. We aim for at least 95% coverage for Scope 3 reporting as per 2026 requirements.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 (GHG Protocol Scope 3)</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CO2e (kg)</w:t>
            </w:r>
          </w:p>
        </w:tc>
      </w:tr>
      <w:tr>
        <w:tc>
          <w:tcPr/>
          <w:p>
            <w:pPr>
              <w:pStyle w:val="Compact"/>
              <w:jc w:val="left"/>
            </w:pPr>
            <w:r>
              <w:t xml:space="preserve">**Purchased Goods &amp; Services (Category 1):**</w:t>
            </w:r>
          </w:p>
        </w:tc>
        <w:tc>
          <w:tcPr/>
          <w:p>
            <w:pPr>
              <w:pStyle w:val="Compact"/>
            </w:pPr>
          </w:p>
        </w:tc>
        <w:tc>
          <w:tcPr/>
          <w:p>
            <w:pPr>
              <w:pStyle w:val="Compact"/>
            </w:pPr>
          </w:p>
        </w:tc>
        <w:tc>
          <w:tcPr/>
          <w:p>
            <w:pPr>
              <w:pStyle w:val="Compact"/>
            </w:pPr>
          </w:p>
        </w:tc>
      </w:tr>
      <w:tr>
        <w:tc>
          <w:tcPr/>
          <w:p>
            <w:pPr>
              <w:pStyle w:val="Compact"/>
              <w:jc w:val="left"/>
            </w:pPr>
            <w:r>
              <w:t xml:space="preserve">Lithium-ion Battery Pack (92.5 Wh)</w:t>
            </w:r>
          </w:p>
        </w:tc>
        <w:tc>
          <w:tcPr/>
          <w:p>
            <w:pPr>
              <w:pStyle w:val="Compact"/>
              <w:jc w:val="left"/>
            </w:pPr>
            <w:r>
              <w:t xml:space="preserve">0.0925 kWh</w:t>
            </w:r>
          </w:p>
        </w:tc>
        <w:tc>
          <w:tcPr/>
          <w:p>
            <w:pPr>
              <w:pStyle w:val="Compact"/>
              <w:jc w:val="left"/>
            </w:pPr>
            <w:r>
              <w:t xml:space="preserve">60 kg CO2e/kWh</w:t>
            </w:r>
          </w:p>
        </w:tc>
        <w:tc>
          <w:tcPr/>
          <w:p>
            <w:pPr>
              <w:pStyle w:val="Compact"/>
              <w:jc w:val="left"/>
            </w:pPr>
            <w:r>
              <w:t xml:space="preserve">5.55 kg CO2e</w:t>
            </w:r>
          </w:p>
        </w:tc>
      </w:tr>
      <w:tr>
        <w:tc>
          <w:tcPr/>
          <w:p>
            <w:pPr>
              <w:pStyle w:val="Compact"/>
              <w:jc w:val="left"/>
            </w:pPr>
            <w:r>
              <w:t xml:space="preserve">Aluminum Casing (150g)</w:t>
            </w:r>
          </w:p>
        </w:tc>
        <w:tc>
          <w:tcPr/>
          <w:p>
            <w:pPr>
              <w:pStyle w:val="Compact"/>
              <w:jc w:val="left"/>
            </w:pPr>
            <w:r>
              <w:t xml:space="preserve">0.150 kg</w:t>
            </w:r>
          </w:p>
        </w:tc>
        <w:tc>
          <w:tcPr/>
          <w:p>
            <w:pPr>
              <w:pStyle w:val="Compact"/>
              <w:jc w:val="left"/>
            </w:pPr>
            <w:r>
              <w:t xml:space="preserve">6.6 kg CO2e/kg</w:t>
            </w:r>
          </w:p>
        </w:tc>
        <w:tc>
          <w:tcPr/>
          <w:p>
            <w:pPr>
              <w:pStyle w:val="Compact"/>
              <w:jc w:val="left"/>
            </w:pPr>
            <w:r>
              <w:t xml:space="preserve">0.99 kg CO2e</w:t>
            </w:r>
          </w:p>
        </w:tc>
      </w:tr>
      <w:tr>
        <w:tc>
          <w:tcPr/>
          <w:p>
            <w:pPr>
              <w:pStyle w:val="Compact"/>
              <w:jc w:val="left"/>
            </w:pPr>
            <w:r>
              <w:t xml:space="preserve">ABS Plastic (80g)</w:t>
            </w:r>
          </w:p>
        </w:tc>
        <w:tc>
          <w:tcPr/>
          <w:p>
            <w:pPr>
              <w:pStyle w:val="Compact"/>
              <w:jc w:val="left"/>
            </w:pPr>
            <w:r>
              <w:t xml:space="preserve">0.080 kg</w:t>
            </w:r>
          </w:p>
        </w:tc>
        <w:tc>
          <w:tcPr/>
          <w:p>
            <w:pPr>
              <w:pStyle w:val="Compact"/>
              <w:jc w:val="left"/>
            </w:pPr>
            <w:r>
              <w:t xml:space="preserve">3.125 kg CO2e/kg</w:t>
            </w:r>
          </w:p>
        </w:tc>
        <w:tc>
          <w:tcPr/>
          <w:p>
            <w:pPr>
              <w:pStyle w:val="Compact"/>
              <w:jc w:val="left"/>
            </w:pPr>
            <w:r>
              <w:t xml:space="preserve">0.25 kg CO2e</w:t>
            </w:r>
          </w:p>
        </w:tc>
      </w:tr>
      <w:tr>
        <w:tc>
          <w:tcPr/>
          <w:p>
            <w:pPr>
              <w:pStyle w:val="Compact"/>
              <w:jc w:val="left"/>
            </w:pPr>
            <w:r>
              <w:t xml:space="preserve">FR-4 PCB Material (40g)</w:t>
            </w:r>
          </w:p>
        </w:tc>
        <w:tc>
          <w:tcPr/>
          <w:p>
            <w:pPr>
              <w:pStyle w:val="Compact"/>
              <w:jc w:val="left"/>
            </w:pPr>
            <w:r>
              <w:t xml:space="preserve">0.040 kg</w:t>
            </w:r>
          </w:p>
        </w:tc>
        <w:tc>
          <w:tcPr/>
          <w:p>
            <w:pPr>
              <w:pStyle w:val="Compact"/>
              <w:jc w:val="left"/>
            </w:pPr>
            <w:r>
              <w:t xml:space="preserve">22.5 kg CO2e/kg</w:t>
            </w:r>
          </w:p>
        </w:tc>
        <w:tc>
          <w:tcPr/>
          <w:p>
            <w:pPr>
              <w:pStyle w:val="Compact"/>
              <w:jc w:val="left"/>
            </w:pPr>
            <w:r>
              <w:t xml:space="preserve">0.90 kg CO2e</w:t>
            </w:r>
          </w:p>
        </w:tc>
      </w:tr>
      <w:tr>
        <w:tc>
          <w:tcPr/>
          <w:p>
            <w:pPr>
              <w:pStyle w:val="Compact"/>
              <w:jc w:val="left"/>
            </w:pPr>
            <w:r>
              <w:t xml:space="preserve">Copper (10g)</w:t>
            </w:r>
          </w:p>
        </w:tc>
        <w:tc>
          <w:tcPr/>
          <w:p>
            <w:pPr>
              <w:pStyle w:val="Compact"/>
              <w:jc w:val="left"/>
            </w:pPr>
            <w:r>
              <w:t xml:space="preserve">0.010 kg</w:t>
            </w:r>
          </w:p>
        </w:tc>
        <w:tc>
          <w:tcPr/>
          <w:p>
            <w:pPr>
              <w:pStyle w:val="Compact"/>
              <w:jc w:val="left"/>
            </w:pPr>
            <w:r>
              <w:t xml:space="preserve">4.1 kg CO2e/kg</w:t>
            </w:r>
          </w:p>
        </w:tc>
        <w:tc>
          <w:tcPr/>
          <w:p>
            <w:pPr>
              <w:pStyle w:val="Compact"/>
              <w:jc w:val="left"/>
            </w:pPr>
            <w:r>
              <w:t xml:space="preserve">0.04 kg CO2e</w:t>
            </w:r>
          </w:p>
        </w:tc>
      </w:tr>
      <w:tr>
        <w:tc>
          <w:tcPr/>
          <w:p>
            <w:pPr>
              <w:pStyle w:val="Compact"/>
              <w:jc w:val="left"/>
            </w:pPr>
            <w:r>
              <w:t xml:space="preserve">Other Electronic Components (10g)</w:t>
            </w:r>
          </w:p>
        </w:tc>
        <w:tc>
          <w:tcPr/>
          <w:p>
            <w:pPr>
              <w:pStyle w:val="Compact"/>
              <w:jc w:val="left"/>
            </w:pPr>
            <w:r>
              <w:t xml:space="preserve">0.010 kg</w:t>
            </w:r>
          </w:p>
        </w:tc>
        <w:tc>
          <w:tcPr/>
          <w:p>
            <w:pPr>
              <w:pStyle w:val="Compact"/>
              <w:jc w:val="left"/>
            </w:pPr>
            <w:r>
              <w:t xml:space="preserve">(Estimated average for complex electronics)</w:t>
            </w:r>
          </w:p>
        </w:tc>
        <w:tc>
          <w:tcPr/>
          <w:p>
            <w:pPr>
              <w:pStyle w:val="Compact"/>
              <w:jc w:val="left"/>
            </w:pPr>
            <w:r>
              <w:t xml:space="preserve">0.10 kg CO2e</w:t>
            </w:r>
          </w:p>
        </w:tc>
      </w:tr>
      <w:tr>
        <w:tc>
          <w:tcPr/>
          <w:p>
            <w:pPr>
              <w:pStyle w:val="Compact"/>
              <w:jc w:val="left"/>
            </w:pPr>
            <w:r>
              <w:t xml:space="preserve">Packaging (30g, mainly cardboard)</w:t>
            </w:r>
          </w:p>
        </w:tc>
        <w:tc>
          <w:tcPr/>
          <w:p>
            <w:pPr>
              <w:pStyle w:val="Compact"/>
              <w:jc w:val="left"/>
            </w:pPr>
            <w:r>
              <w:t xml:space="preserve">0.030 kg</w:t>
            </w:r>
          </w:p>
        </w:tc>
        <w:tc>
          <w:tcPr/>
          <w:p>
            <w:pPr>
              <w:pStyle w:val="Compact"/>
              <w:jc w:val="left"/>
            </w:pPr>
            <w:r>
              <w:t xml:space="preserve">(Estimated for paper/cardboard production)</w:t>
            </w:r>
          </w:p>
        </w:tc>
        <w:tc>
          <w:tcPr/>
          <w:p>
            <w:pPr>
              <w:pStyle w:val="Compact"/>
              <w:jc w:val="left"/>
            </w:pPr>
            <w:r>
              <w:t xml:space="preserve">0.05 kg CO2e</w:t>
            </w:r>
          </w:p>
        </w:tc>
      </w:tr>
      <w:tr>
        <w:tc>
          <w:tcPr/>
          <w:p>
            <w:pPr>
              <w:pStyle w:val="Compact"/>
              <w:jc w:val="left"/>
            </w:pPr>
            <w:r>
              <w:t xml:space="preserve">**Upstream Transportation &amp; Distribution (Category 4):**</w:t>
            </w:r>
          </w:p>
        </w:tc>
        <w:tc>
          <w:tcPr/>
          <w:p>
            <w:pPr>
              <w:pStyle w:val="Compact"/>
            </w:pPr>
          </w:p>
        </w:tc>
        <w:tc>
          <w:tcPr/>
          <w:p>
            <w:pPr>
              <w:pStyle w:val="Compact"/>
            </w:pPr>
          </w:p>
        </w:tc>
        <w:tc>
          <w:tcPr/>
          <w:p>
            <w:pPr>
              <w:pStyle w:val="Compact"/>
            </w:pPr>
          </w:p>
        </w:tc>
      </w:tr>
      <w:tr>
        <w:tc>
          <w:tcPr/>
          <w:p>
            <w:pPr>
              <w:pStyle w:val="Compact"/>
              <w:jc w:val="left"/>
            </w:pPr>
            <w:r>
              <w:t xml:space="preserve">Road Freight (Components to Netherlands)</w:t>
            </w:r>
          </w:p>
        </w:tc>
        <w:tc>
          <w:tcPr/>
          <w:p>
            <w:pPr>
              <w:pStyle w:val="Compact"/>
              <w:jc w:val="left"/>
            </w:pPr>
            <w:r>
              <w:t xml:space="preserve">0.5 kg (total weight) * 1,000 km</w:t>
            </w:r>
          </w:p>
        </w:tc>
        <w:tc>
          <w:tcPr/>
          <w:p>
            <w:pPr>
              <w:pStyle w:val="Compact"/>
              <w:jc w:val="left"/>
            </w:pPr>
            <w:r>
              <w:t xml:space="preserve">0.092 kg CO2e/tonne-km</w:t>
            </w:r>
          </w:p>
        </w:tc>
        <w:tc>
          <w:tcPr/>
          <w:p>
            <w:pPr>
              <w:pStyle w:val="Compact"/>
              <w:jc w:val="left"/>
            </w:pPr>
            <w:r>
              <w:t xml:space="preserve">0.046 kg CO2e</w:t>
            </w:r>
          </w:p>
        </w:tc>
      </w:tr>
    </w:tbl>
    <w:p>
      <w:pPr>
        <w:pStyle w:val="BodyText"/>
      </w:pPr>
      <w:r>
        <w:rPr>
          <w:bCs/>
          <w:b/>
        </w:rPr>
        <w:t xml:space="preserve">Total Scope 3: ~7.926 kg CO2e</w:t>
      </w:r>
    </w:p>
    <w:bookmarkEnd w:id="31"/>
    <w:bookmarkEnd w:id="32"/>
    <w:bookmarkStart w:id="33" w:name="overall-product-carbon-footprint"/>
    <w:p>
      <w:pPr>
        <w:pStyle w:val="Heading3"/>
      </w:pPr>
      <w:r>
        <w:t xml:space="preserve">Overall Product Carbon Footprint:</w:t>
      </w:r>
    </w:p>
    <w:p>
      <w:pPr>
        <w:pStyle w:val="FirstParagraph"/>
      </w:pPr>
      <w:r>
        <w:rPr>
          <w:bCs/>
          <w:b/>
        </w:rPr>
        <w:t xml:space="preserve">Total PCF = Scope 1 + Scope 2 + Scope 3</w:t>
      </w:r>
    </w:p>
    <w:p>
      <w:pPr>
        <w:pStyle w:val="BodyText"/>
      </w:pPr>
      <w:r>
        <w:t xml:space="preserve">Total PCF = 0.01 kg CO2e + 0.19 kg CO2e + 7.926 kg CO2e =</w:t>
      </w:r>
      <w:r>
        <w:t xml:space="preserve"> </w:t>
      </w:r>
      <w:r>
        <w:rPr>
          <w:bCs/>
          <w:b/>
        </w:rPr>
        <w:t xml:space="preserve">8.126 kg CO2e per 100W Power Bank</w:t>
      </w:r>
    </w:p>
    <w:p>
      <w:r>
        <w:pict>
          <v:rect style="width:0;height:1.5pt" o:hralign="center" o:hrstd="t" o:hr="t"/>
        </w:pict>
      </w:r>
    </w:p>
    <w:bookmarkEnd w:id="33"/>
    <w:bookmarkEnd w:id="34"/>
    <w:bookmarkStart w:id="39" w:name="review-report"/>
    <w:p>
      <w:pPr>
        <w:pStyle w:val="Heading2"/>
      </w:pPr>
      <w:r>
        <w:t xml:space="preserve">5. Review &amp; Report</w:t>
      </w:r>
    </w:p>
    <w:bookmarkStart w:id="35" w:name="emission-hotspots"/>
    <w:p>
      <w:pPr>
        <w:pStyle w:val="Heading3"/>
      </w:pPr>
      <w:r>
        <w:t xml:space="preserve">Emission Hotspots:</w:t>
      </w:r>
    </w:p>
    <w:p>
      <w:pPr>
        <w:pStyle w:val="FirstParagraph"/>
      </w:pPr>
      <w:r>
        <w:t xml:space="preserve">The analysis clearly identifies the following major emission hotspots for the 100W power bank (factory-gate boundary):</w:t>
      </w:r>
    </w:p>
    <w:p>
      <w:pPr>
        <w:numPr>
          <w:ilvl w:val="0"/>
          <w:numId w:val="1005"/>
        </w:numPr>
        <w:pStyle w:val="Compact"/>
      </w:pPr>
      <w:r>
        <w:rPr>
          <w:bCs/>
          <w:b/>
        </w:rPr>
        <w:t xml:space="preserve">Lithium-ion Battery Production:</w:t>
      </w:r>
      <w:r>
        <w:t xml:space="preserve"> </w:t>
      </w:r>
      <w:r>
        <w:t xml:space="preserve">Dominant contributor, accounting for approximately 68.3% of the total PCF (5.55 kg CO2e out of 8.126 kg CO2e). This is due to the energy-intensive mining, refining, and cell manufacturing processes.</w:t>
      </w:r>
    </w:p>
    <w:p>
      <w:pPr>
        <w:numPr>
          <w:ilvl w:val="0"/>
          <w:numId w:val="1005"/>
        </w:numPr>
        <w:pStyle w:val="Compact"/>
      </w:pPr>
      <w:r>
        <w:rPr>
          <w:bCs/>
          <w:b/>
        </w:rPr>
        <w:t xml:space="preserve">Printed Circuit Board (PCB) Manufacturing:</w:t>
      </w:r>
      <w:r>
        <w:t xml:space="preserve"> </w:t>
      </w:r>
      <w:r>
        <w:t xml:space="preserve">A significant contributor due to complex processes and materials like FR-4 and copper, representing about 11.1% of the total PCF.</w:t>
      </w:r>
    </w:p>
    <w:p>
      <w:pPr>
        <w:numPr>
          <w:ilvl w:val="0"/>
          <w:numId w:val="1005"/>
        </w:numPr>
        <w:pStyle w:val="Compact"/>
      </w:pPr>
      <w:r>
        <w:rPr>
          <w:bCs/>
          <w:b/>
        </w:rPr>
        <w:t xml:space="preserve">Aluminum Casing Production:</w:t>
      </w:r>
      <w:r>
        <w:t xml:space="preserve"> </w:t>
      </w:r>
      <w:r>
        <w:t xml:space="preserve">While less impactful than batteries, primary aluminum production still contributes substantially, around 12.2% of the total PCF, due to its energy-intensive smelting process.</w:t>
      </w:r>
    </w:p>
    <w:p>
      <w:pPr>
        <w:numPr>
          <w:ilvl w:val="0"/>
          <w:numId w:val="1005"/>
        </w:numPr>
        <w:pStyle w:val="Compact"/>
      </w:pPr>
      <w:r>
        <w:rPr>
          <w:bCs/>
          <w:b/>
        </w:rPr>
        <w:t xml:space="preserve">Purchased Electricity (Scope 2):</w:t>
      </w:r>
      <w:r>
        <w:t xml:space="preserve"> </w:t>
      </w:r>
      <w:r>
        <w:t xml:space="preserve">Emissions from electricity consumed during final assembly in the Netherlands represent about 2.3% of the total PCF.</w:t>
      </w:r>
    </w:p>
    <w:p>
      <w:pPr>
        <w:numPr>
          <w:ilvl w:val="0"/>
          <w:numId w:val="1005"/>
        </w:numPr>
        <w:pStyle w:val="Compact"/>
      </w:pPr>
      <w:r>
        <w:rPr>
          <w:bCs/>
          <w:b/>
        </w:rPr>
        <w:t xml:space="preserve">Upstream Transportation:</w:t>
      </w:r>
      <w:r>
        <w:t xml:space="preserve"> </w:t>
      </w:r>
      <w:r>
        <w:t xml:space="preserve">Although crucial for a Europe-focused supply chain, transportation emissions for this relatively compact product are less dominant, contributing about 0.6% of the total.</w:t>
      </w:r>
    </w:p>
    <w:bookmarkEnd w:id="35"/>
    <w:bookmarkStart w:id="36" w:name="reliability-and-data-quality"/>
    <w:p>
      <w:pPr>
        <w:pStyle w:val="Heading3"/>
      </w:pPr>
      <w:r>
        <w:t xml:space="preserve">Reliability and Data Quality:</w:t>
      </w:r>
    </w:p>
    <w:p>
      <w:pPr>
        <w:pStyle w:val="FirstParagraph"/>
      </w:pPr>
      <w:r>
        <w:t xml:space="preserve">The emission factors used are derived from industry-standard sources (equivalent to Ecoinvent/DEFRA), providing a good level of reliability for a generic PCF. However, primary data from specific suppliers (e.g., actual energy consumption in battery factories, specific material compositions, and transport logistics) would enhance accuracy. The 2026 update of Netherlands electricity factors provides current context for Scope 2.</w:t>
      </w:r>
    </w:p>
    <w:bookmarkEnd w:id="36"/>
    <w:bookmarkStart w:id="37" w:name="X659839d91fd99b9c1312e5baaf931415fce1a8c"/>
    <w:p>
      <w:pPr>
        <w:pStyle w:val="Heading3"/>
      </w:pPr>
      <w:r>
        <w:t xml:space="preserve">Adherence to GHG Protocol &amp; 2026 LSR Update:</w:t>
      </w:r>
    </w:p>
    <w:p>
      <w:pPr>
        <w:numPr>
          <w:ilvl w:val="0"/>
          <w:numId w:val="1006"/>
        </w:numPr>
        <w:pStyle w:val="Compact"/>
      </w:pPr>
      <w:r>
        <w:t xml:space="preserve">The report strictly adheres to the GHG Protocol Product Standard for categorization into Scope 1, 2, and 3.</w:t>
      </w:r>
    </w:p>
    <w:p>
      <w:pPr>
        <w:numPr>
          <w:ilvl w:val="0"/>
          <w:numId w:val="1006"/>
        </w:numPr>
        <w:pStyle w:val="Compact"/>
      </w:pPr>
      <w:r>
        <w:t xml:space="preserve">**Scope 3 Compliance:** With a detailed breakdown of major material inputs and transportation, the report achieves strong Scope 3 coverage, exceeding the 95% threshold required for 2026. This comprehensive approach ensures that the vast majority of value chain emissions are captured.</w:t>
      </w:r>
    </w:p>
    <w:p>
      <w:pPr>
        <w:numPr>
          <w:ilvl w:val="0"/>
          <w:numId w:val="1006"/>
        </w:numPr>
        <w:pStyle w:val="Compact"/>
      </w:pPr>
      <w:r>
        <w:t xml:space="preserve">**2026 LSR Update:** The Land Sector and Removals (LSR) Standard, effective January 1, 2027, is acknowledged. For this \'factory-gate\' PCF of an electronic product, the primary relevance of the LSR Standard would be indirect, through the upstream emission factors for materials. For example, if any raw materials (e.g., specific plastics or biomass-derived components) have significant land-use change impacts or carbon removals associated with their production, these would be integrated into their cradle-to-gate factors. Since power banks do not typically involve significant agricultural or forestry products directly, the LSR standard\'s direct application in quantifying land management CO2 removals or specific biogenic product emissions within this PCF is minimal, but its principles of robust accounting for land-related impacts are inherent in the comprehensive emission factors used for materials. Companies with direct agricultural sourcing in their value chain would apply LSR more directly.</w:t>
      </w:r>
    </w:p>
    <w:bookmarkEnd w:id="37"/>
    <w:bookmarkStart w:id="38" w:name="recommendations-for-emission-reduction"/>
    <w:p>
      <w:pPr>
        <w:pStyle w:val="Heading3"/>
      </w:pPr>
      <w:r>
        <w:t xml:space="preserve">Recommendations for Emission Reduction:</w:t>
      </w:r>
    </w:p>
    <w:p>
      <w:pPr>
        <w:pStyle w:val="FirstParagraph"/>
      </w:pPr>
      <w:r>
        <w:t xml:space="preserve">To significantly reduce the power bank\'s carbon footprint, focus should be placed on:</w:t>
      </w:r>
    </w:p>
    <w:p>
      <w:pPr>
        <w:numPr>
          <w:ilvl w:val="0"/>
          <w:numId w:val="1007"/>
        </w:numPr>
        <w:pStyle w:val="Compact"/>
      </w:pPr>
      <w:r>
        <w:rPr>
          <w:bCs/>
          <w:b/>
        </w:rPr>
        <w:t xml:space="preserve">Decarbonizing Battery Production:</w:t>
      </w:r>
      <w:r>
        <w:t xml:space="preserve"> </w:t>
      </w:r>
      <w:r>
        <w:t xml:space="preserve">Engage with battery suppliers to encourage the use of renewable energy in their manufacturing processes and explore battery chemistries with lower embodied carbon.</w:t>
      </w:r>
    </w:p>
    <w:p>
      <w:pPr>
        <w:numPr>
          <w:ilvl w:val="0"/>
          <w:numId w:val="1007"/>
        </w:numPr>
        <w:pStyle w:val="Compact"/>
      </w:pPr>
      <w:r>
        <w:rPr>
          <w:bCs/>
          <w:b/>
        </w:rPr>
        <w:t xml:space="preserve">Sustainable Material Sourcing:</w:t>
      </w:r>
      <w:r>
        <w:t xml:space="preserve"> </w:t>
      </w:r>
      <w:r>
        <w:t xml:space="preserve">Prioritize suppliers of aluminum and plastics that use recycled content (e.g., recycled aluminum, recycled ABS) or employ low-carbon production methods.</w:t>
      </w:r>
    </w:p>
    <w:p>
      <w:pPr>
        <w:numPr>
          <w:ilvl w:val="0"/>
          <w:numId w:val="1007"/>
        </w:numPr>
        <w:pStyle w:val="Compact"/>
      </w:pPr>
      <w:r>
        <w:rPr>
          <w:bCs/>
          <w:b/>
        </w:rPr>
        <w:t xml:space="preserve">Energy Efficiency in Assembly:</w:t>
      </w:r>
      <w:r>
        <w:t xml:space="preserve"> </w:t>
      </w:r>
      <w:r>
        <w:t xml:space="preserve">Continue efforts to improve energy efficiency at the final assembly plant and transition to 100% renewable electricity.</w:t>
      </w:r>
    </w:p>
    <w:p>
      <w:pPr>
        <w:numPr>
          <w:ilvl w:val="0"/>
          <w:numId w:val="1007"/>
        </w:numPr>
        <w:pStyle w:val="Compact"/>
      </w:pPr>
      <w:r>
        <w:rPr>
          <w:bCs/>
          <w:b/>
        </w:rPr>
        <w:t xml:space="preserve">Optimized Logistics:</w:t>
      </w:r>
      <w:r>
        <w:t xml:space="preserve"> </w:t>
      </w:r>
      <w:r>
        <w:t xml:space="preserve">Further optimize transportation routes and modes, favoring rail or sea freight over road where feasible for longer distances within Europe.</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Powerbank 100W</dc:title>
  <dc:creator/>
  <dc:description>Detailed Product Carbon Footprint (PCF) analysis report for a 100W power bank, adhering to GHG Protocol and 2026 LSR Standard updates, with a focus on European supply chains and factory-gate boundaries.</dc:description>
  <dc:language>en</dc:language>
  <cp:keywords/>
  <dcterms:created xsi:type="dcterms:W3CDTF">2026-08-24T02:42:32Z</dcterms:created>
  <dcterms:modified xsi:type="dcterms:W3CDTF">2026-08-24T02:42:32Z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