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Power</w:t>
      </w:r>
      <w:r>
        <w:t xml:space="preserve"> </w:t>
      </w:r>
      <w:r>
        <w:t xml:space="preserve">Bank</w:t>
      </w:r>
      <w:r>
        <w:t xml:space="preserve"> </w:t>
      </w:r>
      <w:r>
        <w:t xml:space="preserve">100W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Power Bank 100W</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While efforts have been made to ensure accuracy and adherence to the GHG Protocol,</w:t>
      </w:r>
      <w:r>
        <w:t xml:space="preserve"> </w:t>
      </w:r>
      <w:r>
        <w:t xml:space="preserve">actual emissions may vary depending on specific supply chain details and operational efficiencies.</w:t>
      </w:r>
    </w:p>
    <w:bookmarkEnd w:id="20"/>
    <w:p>
      <w:pPr>
        <w:pStyle w:val="BodyText"/>
      </w:pPr>
      <w:r>
        <w:t xml:space="preserve">Product Carbon Footprint (PCF) Analysis Report</w:t>
      </w:r>
    </w:p>
    <w:p>
      <w:pPr>
        <w:pStyle w:val="BodyText"/>
      </w:pPr>
      <w:r>
        <w:t xml:space="preserve">Generated Date: May 31, 2026</w:t>
      </w:r>
    </w:p>
    <w:p>
      <w:pPr>
        <w:pStyle w:val="BodyText"/>
      </w:pPr>
      <w:r>
        <w:t xml:space="preserve">As a Senior Sustainability Consultant specializing in the GHG Protocol, this report provides a high-detail Product Carbon Footprint (PCF) analysis for a 100W Power Bank, adhering to the specified parameters and methodology. The analysis strictly follows the Greenhouse Gas Protocol standards, including the categorization of emissions into Scope 1, Scope 2, and Scope 3, and incorporates the principles of the 2026 Land Sector and Removals (LSR) Standard.</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cradle-to-gate Product Carbon Footprint (PCF) for a 100W Power Bank, with a functional unit of 1.0 unit. The analysis focuses on manufacturing operations in the Netherlands and a supply chain primarily situated within Europe. Key findings indicate that the most significant contributions to the carbon footprint arise from the production of raw materials, particularly the lithium-ion battery and electronic components, followed by manufacturing energy consumption and upstream transportation. Adherence to the GHG Protocol\'s Scope 3 reporting requirements, with an estimated coverage exceeding 95% for upstream activities, highlights the importance of supply chain engagement for emission reductions.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numPr>
          <w:ilvl w:val="0"/>
          <w:numId w:val="1001"/>
        </w:numPr>
        <w:pStyle w:val="Compact"/>
      </w:pPr>
      <w:r>
        <w:rPr>
          <w:bCs/>
          <w:b/>
        </w:rPr>
        <w:t xml:space="preserve">1.0 unit of Power Bank 100W:</w:t>
      </w:r>
      <w:r>
        <w:t xml:space="preserve"> </w:t>
      </w:r>
      <w:r>
        <w:t xml:space="preserve">This unit represents a single, fully assembled, and packaged 100W power bank, ready to leave the factory gate. The "100W" refers to its maximum power output capability, and typically implies a battery capacity of approximately 74-111 Wh (e.g., 20,000-30,000 mAh at 3.7V nominal).</w:t>
      </w:r>
    </w:p>
    <w:bookmarkEnd w:id="22"/>
    <w:bookmarkStart w:id="23" w:name="system-boundary"/>
    <w:p>
      <w:pPr>
        <w:pStyle w:val="Heading3"/>
      </w:pPr>
      <w:r>
        <w:t xml:space="preserve">System Boundary:</w:t>
      </w:r>
    </w:p>
    <w:p>
      <w:pPr>
        <w:numPr>
          <w:ilvl w:val="0"/>
          <w:numId w:val="1002"/>
        </w:numPr>
        <w:pStyle w:val="Compact"/>
      </w:pPr>
      <w:r>
        <w:rPr>
          <w:bCs/>
          <w:b/>
        </w:rPr>
        <w:t xml:space="preserve">Factory Gate (Cradle-to-Gate):</w:t>
      </w:r>
      <w:r>
        <w:t xml:space="preserve"> </w:t>
      </w:r>
      <w:r>
        <w:t xml:space="preserve">The analysis encompasses all processes from raw material extraction, through component manufacturing and transportation to the final assembly plant in the Netherlands, up to the point where the finished product leaves the factory. This includes:</w:t>
      </w:r>
    </w:p>
    <w:p>
      <w:pPr>
        <w:numPr>
          <w:ilvl w:val="1"/>
          <w:numId w:val="1003"/>
        </w:numPr>
        <w:pStyle w:val="Compact"/>
      </w:pPr>
      <w:r>
        <w:t xml:space="preserve">Raw material acquisition and pre-processing.</w:t>
      </w:r>
    </w:p>
    <w:p>
      <w:pPr>
        <w:numPr>
          <w:ilvl w:val="1"/>
          <w:numId w:val="1003"/>
        </w:numPr>
        <w:pStyle w:val="Compact"/>
      </w:pPr>
      <w:r>
        <w:t xml:space="preserve">Manufacturing of components (e.g., battery cells, plastic casing, PCB).</w:t>
      </w:r>
    </w:p>
    <w:p>
      <w:pPr>
        <w:numPr>
          <w:ilvl w:val="1"/>
          <w:numId w:val="1003"/>
        </w:numPr>
        <w:pStyle w:val="Compact"/>
      </w:pPr>
      <w:r>
        <w:t xml:space="preserve">Transportation of raw materials and components to the final assembly plant.</w:t>
      </w:r>
    </w:p>
    <w:p>
      <w:pPr>
        <w:numPr>
          <w:ilvl w:val="1"/>
          <w:numId w:val="1003"/>
        </w:numPr>
        <w:pStyle w:val="Compact"/>
      </w:pPr>
      <w:r>
        <w:t xml:space="preserve">Energy consumption during the final assembly and packaging processes.</w:t>
      </w:r>
    </w:p>
    <w:p>
      <w:pPr>
        <w:numPr>
          <w:ilvl w:val="1"/>
          <w:numId w:val="1003"/>
        </w:numPr>
        <w:pStyle w:val="Compact"/>
      </w:pPr>
      <w:r>
        <w:t xml:space="preserve">Packaging materials.</w:t>
      </w:r>
    </w:p>
    <w:p>
      <w:pPr>
        <w:numPr>
          <w:ilvl w:val="0"/>
          <w:numId w:val="1000"/>
        </w:numPr>
        <w:pStyle w:val="Compact"/>
      </w:pPr>
      <w:r>
        <w:t xml:space="preserve">The use phase, end-of-life treatment, and consumer transport are excluded from this system boundary.</w:t>
      </w:r>
    </w:p>
    <w:bookmarkEnd w:id="23"/>
    <w:bookmarkStart w:id="24" w:name="geographic-scope"/>
    <w:p>
      <w:pPr>
        <w:pStyle w:val="Heading3"/>
      </w:pPr>
      <w:r>
        <w:t xml:space="preserve">Geographic Scope:</w:t>
      </w:r>
    </w:p>
    <w:p>
      <w:pPr>
        <w:numPr>
          <w:ilvl w:val="0"/>
          <w:numId w:val="1004"/>
        </w:numPr>
        <w:pStyle w:val="Compact"/>
      </w:pPr>
      <w:r>
        <w:rPr>
          <w:bCs/>
          <w:b/>
        </w:rPr>
        <w:t xml:space="preserve">Final Production Country:</w:t>
      </w:r>
      <w:r>
        <w:t xml:space="preserve"> </w:t>
      </w:r>
      <w:r>
        <w:t xml:space="preserve">Netherlands</w:t>
      </w:r>
    </w:p>
    <w:p>
      <w:pPr>
        <w:numPr>
          <w:ilvl w:val="0"/>
          <w:numId w:val="1004"/>
        </w:numPr>
        <w:pStyle w:val="Compact"/>
      </w:pPr>
      <w:r>
        <w:rPr>
          <w:bCs/>
          <w:b/>
        </w:rPr>
        <w:t xml:space="preserve">Supply Chain Focus:</w:t>
      </w:r>
      <w:r>
        <w:t xml:space="preserve"> </w:t>
      </w:r>
      <w:r>
        <w:t xml:space="preserve">Europe Focused (with recognition of global sourcing for specialized components like battery cells). This means European electricity mixes and transport distances are prioritized where applicable, but major global inputs are acknowledged.</w:t>
      </w:r>
    </w:p>
    <w:bookmarkEnd w:id="24"/>
    <w:bookmarkStart w:id="25" w:name="accounting-standard"/>
    <w:p>
      <w:pPr>
        <w:pStyle w:val="Heading3"/>
      </w:pPr>
      <w:r>
        <w:t xml:space="preserve">Accounting Standard:</w:t>
      </w:r>
    </w:p>
    <w:p>
      <w:pPr>
        <w:numPr>
          <w:ilvl w:val="0"/>
          <w:numId w:val="1005"/>
        </w:numPr>
        <w:pStyle w:val="Compact"/>
      </w:pPr>
      <w:r>
        <w:rPr>
          <w:bCs/>
          <w:b/>
        </w:rPr>
        <w:t xml:space="preserve">GHG Protocol (Product Standard):</w:t>
      </w:r>
      <w:r>
        <w:t xml:space="preserve"> </w:t>
      </w:r>
      <w:r>
        <w:t xml:space="preserve">This analysis adheres to the Greenhouse Gas Protocol\'s Product Life Cycle Accounting and Reporting Standard, providing a comprehensive and credible framework for quantifying greenhouse gas (GHG) emissions associated with the power bank throughout its defined lifecycle stages. The methodology ensures transparent and consistent reporting of emissions.</w:t>
      </w:r>
    </w:p>
    <w:bookmarkEnd w:id="25"/>
    <w:bookmarkStart w:id="26" w:name="allocation"/>
    <w:p>
      <w:pPr>
        <w:pStyle w:val="Heading3"/>
      </w:pPr>
      <w:r>
        <w:t xml:space="preserve">Allocation:</w:t>
      </w:r>
    </w:p>
    <w:p>
      <w:pPr>
        <w:numPr>
          <w:ilvl w:val="0"/>
          <w:numId w:val="1006"/>
        </w:numPr>
        <w:pStyle w:val="Compact"/>
      </w:pPr>
      <w:r>
        <w:rPr>
          <w:bCs/>
          <w:b/>
        </w:rPr>
        <w:t xml:space="preserve">Mass Allocation:</w:t>
      </w:r>
      <w:r>
        <w:t xml:space="preserve"> </w:t>
      </w:r>
      <w:r>
        <w:t xml:space="preserve">Emissions from shared processes (e.g., production of a material used in multiple products) are allocated based on the mass of the material incorporated into the 100W Power Bank.</w:t>
      </w:r>
    </w:p>
    <w:p>
      <w:pPr>
        <w:numPr>
          <w:ilvl w:val="0"/>
          <w:numId w:val="1006"/>
        </w:numPr>
        <w:pStyle w:val="Compact"/>
      </w:pPr>
      <w:r>
        <w:rPr>
          <w:bCs/>
          <w:b/>
        </w:rPr>
        <w:t xml:space="preserve">Economic Allocation:</w:t>
      </w:r>
      <w:r>
        <w:t xml:space="preserve"> </w:t>
      </w:r>
      <w:r>
        <w:t xml:space="preserve">Not primarily used within this PCF boundary for direct material/energy inputs, but implicitly considered in the development of some secondary emission factors.</w:t>
      </w:r>
    </w:p>
    <w:p>
      <w:r>
        <w:pict>
          <v:rect style="width:0;height:1.5pt" o:hralign="center" o:hrstd="t" o:hr="t"/>
        </w:pict>
      </w:r>
    </w:p>
    <w:bookmarkEnd w:id="26"/>
    <w:bookmarkEnd w:id="27"/>
    <w:bookmarkStart w:id="32"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critical lifecycle stages, material inputs, and energy consumption points, along with the corresponding data and emission factors used. The data largely comprises secondary data from recognized databases such as Ecoinvent and DEFRA, or representative industry averages.</w:t>
      </w:r>
    </w:p>
    <w:bookmarkStart w:id="28" w:name="Xdbb5c19476e10981632222a671bd8bc7384e31c"/>
    <w:p>
      <w:pPr>
        <w:pStyle w:val="Heading3"/>
      </w:pPr>
      <w:r>
        <w:t xml:space="preserve">Detailed Bill of Materials (BoM) and Estimated Weights per 1.0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Component/Material</w:t>
            </w:r>
          </w:p>
        </w:tc>
        <w:tc>
          <w:tcPr/>
          <w:p>
            <w:pPr>
              <w:pStyle w:val="Compact"/>
              <w:jc w:val="left"/>
            </w:pPr>
            <w:r>
              <w:t xml:space="preserve">Material Type</w:t>
            </w:r>
          </w:p>
        </w:tc>
        <w:tc>
          <w:tcPr/>
          <w:p>
            <w:pPr>
              <w:pStyle w:val="Compact"/>
              <w:jc w:val="left"/>
            </w:pPr>
            <w:r>
              <w:t xml:space="preserve">Estimated Weight (g)</w:t>
            </w:r>
          </w:p>
        </w:tc>
        <w:tc>
          <w:tcPr/>
          <w:p>
            <w:pPr>
              <w:pStyle w:val="Compact"/>
              <w:jc w:val="left"/>
            </w:pPr>
            <w:r>
              <w:t xml:space="preserve">Source of Data</w:t>
            </w:r>
          </w:p>
        </w:tc>
      </w:tr>
      <w:tr>
        <w:tc>
          <w:tcPr/>
          <w:p>
            <w:pPr>
              <w:pStyle w:val="Compact"/>
              <w:jc w:val="left"/>
            </w:pPr>
            <w:r>
              <w:t xml:space="preserve">Li-ion Battery Pack (e.g., 20,000-25,000 mAh)</w:t>
            </w:r>
          </w:p>
        </w:tc>
        <w:tc>
          <w:tcPr/>
          <w:p>
            <w:pPr>
              <w:pStyle w:val="Compact"/>
              <w:jc w:val="left"/>
            </w:pPr>
            <w:r>
              <w:t xml:space="preserve">Lithium-ion composite</w:t>
            </w:r>
          </w:p>
        </w:tc>
        <w:tc>
          <w:tcPr/>
          <w:p>
            <w:pPr>
              <w:pStyle w:val="Compact"/>
              <w:jc w:val="left"/>
            </w:pPr>
            <w:r>
              <w:t xml:space="preserve">380</w:t>
            </w:r>
          </w:p>
        </w:tc>
        <w:tc>
          <w:tcPr/>
          <w:p>
            <w:pPr>
              <w:pStyle w:val="Compact"/>
              <w:jc w:val="left"/>
            </w:pPr>
            <w:r>
              <w:t xml:space="preserve">Industry average estimation</w:t>
            </w:r>
          </w:p>
        </w:tc>
      </w:tr>
      <w:tr>
        <w:tc>
          <w:tcPr/>
          <w:p>
            <w:pPr>
              <w:pStyle w:val="Compact"/>
              <w:jc w:val="left"/>
            </w:pPr>
            <w:r>
              <w:t xml:space="preserve">Casing - Aluminum Alloy</w:t>
            </w:r>
          </w:p>
        </w:tc>
        <w:tc>
          <w:tcPr/>
          <w:p>
            <w:pPr>
              <w:pStyle w:val="Compact"/>
              <w:jc w:val="left"/>
            </w:pPr>
            <w:r>
              <w:t xml:space="preserve">Aluminum (Primary)</w:t>
            </w:r>
          </w:p>
        </w:tc>
        <w:tc>
          <w:tcPr/>
          <w:p>
            <w:pPr>
              <w:pStyle w:val="Compact"/>
              <w:jc w:val="left"/>
            </w:pPr>
            <w:r>
              <w:t xml:space="preserve">80</w:t>
            </w:r>
          </w:p>
        </w:tc>
        <w:tc>
          <w:tcPr/>
          <w:p>
            <w:pPr>
              <w:pStyle w:val="Compact"/>
              <w:jc w:val="left"/>
            </w:pPr>
            <w:r>
              <w:t xml:space="preserve">Industry average estimation</w:t>
            </w:r>
          </w:p>
        </w:tc>
      </w:tr>
      <w:tr>
        <w:tc>
          <w:tcPr/>
          <w:p>
            <w:pPr>
              <w:pStyle w:val="Compact"/>
              <w:jc w:val="left"/>
            </w:pPr>
            <w:r>
              <w:t xml:space="preserve">Casing - ABS Plastic</w:t>
            </w:r>
          </w:p>
        </w:tc>
        <w:tc>
          <w:tcPr/>
          <w:p>
            <w:pPr>
              <w:pStyle w:val="Compact"/>
              <w:jc w:val="left"/>
            </w:pPr>
            <w:r>
              <w:t xml:space="preserve">Acrylonitrile Butadiene Styrene (ABS)</w:t>
            </w:r>
          </w:p>
        </w:tc>
        <w:tc>
          <w:tcPr/>
          <w:p>
            <w:pPr>
              <w:pStyle w:val="Compact"/>
              <w:jc w:val="left"/>
            </w:pPr>
            <w:r>
              <w:t xml:space="preserve">40</w:t>
            </w:r>
          </w:p>
        </w:tc>
        <w:tc>
          <w:tcPr/>
          <w:p>
            <w:pPr>
              <w:pStyle w:val="Compact"/>
              <w:jc w:val="left"/>
            </w:pPr>
            <w:r>
              <w:t xml:space="preserve">Industry average estimation</w:t>
            </w:r>
          </w:p>
        </w:tc>
      </w:tr>
      <w:tr>
        <w:tc>
          <w:tcPr/>
          <w:p>
            <w:pPr>
              <w:pStyle w:val="Compact"/>
              <w:jc w:val="left"/>
            </w:pPr>
            <w:r>
              <w:t xml:space="preserve">Printed Circuit Board (PCB)</w:t>
            </w:r>
          </w:p>
        </w:tc>
        <w:tc>
          <w:tcPr/>
          <w:p>
            <w:pPr>
              <w:pStyle w:val="Compact"/>
              <w:jc w:val="left"/>
            </w:pPr>
            <w:r>
              <w:t xml:space="preserve">FR4 composite (fiberglass, epoxy, copper)</w:t>
            </w:r>
          </w:p>
        </w:tc>
        <w:tc>
          <w:tcPr/>
          <w:p>
            <w:pPr>
              <w:pStyle w:val="Compact"/>
              <w:jc w:val="left"/>
            </w:pPr>
            <w:r>
              <w:t xml:space="preserve">20</w:t>
            </w:r>
          </w:p>
        </w:tc>
        <w:tc>
          <w:tcPr/>
          <w:p>
            <w:pPr>
              <w:pStyle w:val="Compact"/>
              <w:jc w:val="left"/>
            </w:pPr>
            <w:r>
              <w:t xml:space="preserve">Industry average estimation</w:t>
            </w:r>
          </w:p>
        </w:tc>
      </w:tr>
      <w:tr>
        <w:tc>
          <w:tcPr/>
          <w:p>
            <w:pPr>
              <w:pStyle w:val="Compact"/>
              <w:jc w:val="left"/>
            </w:pPr>
            <w:r>
              <w:t xml:space="preserve">Electronic Components (IC chips, resistors, capacitors, connectors, solder)</w:t>
            </w:r>
          </w:p>
        </w:tc>
        <w:tc>
          <w:tcPr/>
          <w:p>
            <w:pPr>
              <w:pStyle w:val="Compact"/>
              <w:jc w:val="left"/>
            </w:pPr>
            <w:r>
              <w:t xml:space="preserve">Silicon, Copper, Tin, various plastics/metals</w:t>
            </w:r>
          </w:p>
        </w:tc>
        <w:tc>
          <w:tcPr/>
          <w:p>
            <w:pPr>
              <w:pStyle w:val="Compact"/>
              <w:jc w:val="left"/>
            </w:pPr>
            <w:r>
              <w:t xml:space="preserve">15</w:t>
            </w:r>
          </w:p>
        </w:tc>
        <w:tc>
          <w:tcPr/>
          <w:p>
            <w:pPr>
              <w:pStyle w:val="Compact"/>
              <w:jc w:val="left"/>
            </w:pPr>
            <w:r>
              <w:t xml:space="preserve">Industry average estimation</w:t>
            </w:r>
          </w:p>
        </w:tc>
      </w:tr>
      <w:tr>
        <w:tc>
          <w:tcPr/>
          <w:p>
            <w:pPr>
              <w:pStyle w:val="Compact"/>
              <w:jc w:val="left"/>
            </w:pPr>
            <w:r>
              <w:t xml:space="preserve">Internal Wiring</w:t>
            </w:r>
          </w:p>
        </w:tc>
        <w:tc>
          <w:tcPr/>
          <w:p>
            <w:pPr>
              <w:pStyle w:val="Compact"/>
              <w:jc w:val="left"/>
            </w:pPr>
            <w:r>
              <w:t xml:space="preserve">Copper, PVC/TPE</w:t>
            </w:r>
          </w:p>
        </w:tc>
        <w:tc>
          <w:tcPr/>
          <w:p>
            <w:pPr>
              <w:pStyle w:val="Compact"/>
              <w:jc w:val="left"/>
            </w:pPr>
            <w:r>
              <w:t xml:space="preserve">5</w:t>
            </w:r>
          </w:p>
        </w:tc>
        <w:tc>
          <w:tcPr/>
          <w:p>
            <w:pPr>
              <w:pStyle w:val="Compact"/>
              <w:jc w:val="left"/>
            </w:pPr>
            <w:r>
              <w:t xml:space="preserve">Industry average estimation</w:t>
            </w:r>
          </w:p>
        </w:tc>
      </w:tr>
      <w:tr>
        <w:tc>
          <w:tcPr/>
          <w:p>
            <w:pPr>
              <w:pStyle w:val="Compact"/>
              <w:jc w:val="left"/>
            </w:pPr>
            <w:r>
              <w:t xml:space="preserve">Packaging - Corrugated Cardboard Box</w:t>
            </w:r>
          </w:p>
        </w:tc>
        <w:tc>
          <w:tcPr/>
          <w:p>
            <w:pPr>
              <w:pStyle w:val="Compact"/>
              <w:jc w:val="left"/>
            </w:pPr>
            <w:r>
              <w:t xml:space="preserve">Recycled/Virgin Paperboard</w:t>
            </w:r>
          </w:p>
        </w:tc>
        <w:tc>
          <w:tcPr/>
          <w:p>
            <w:pPr>
              <w:pStyle w:val="Compact"/>
              <w:jc w:val="left"/>
            </w:pPr>
            <w:r>
              <w:t xml:space="preserve">40</w:t>
            </w:r>
          </w:p>
        </w:tc>
        <w:tc>
          <w:tcPr/>
          <w:p>
            <w:pPr>
              <w:pStyle w:val="Compact"/>
              <w:jc w:val="left"/>
            </w:pPr>
            <w:r>
              <w:t xml:space="preserve">Industry average estimation for small electronics packaging</w:t>
            </w:r>
          </w:p>
        </w:tc>
      </w:tr>
      <w:tr>
        <w:tc>
          <w:tcPr/>
          <w:p>
            <w:pPr>
              <w:pStyle w:val="Compact"/>
              <w:jc w:val="left"/>
            </w:pPr>
            <w:r>
              <w:t xml:space="preserve">Packaging - Plastic Tray/Film</w:t>
            </w:r>
          </w:p>
        </w:tc>
        <w:tc>
          <w:tcPr/>
          <w:p>
            <w:pPr>
              <w:pStyle w:val="Compact"/>
              <w:jc w:val="left"/>
            </w:pPr>
            <w:r>
              <w:t xml:space="preserve">PET/PP plastic</w:t>
            </w:r>
          </w:p>
        </w:tc>
        <w:tc>
          <w:tcPr/>
          <w:p>
            <w:pPr>
              <w:pStyle w:val="Compact"/>
              <w:jc w:val="left"/>
            </w:pPr>
            <w:r>
              <w:t xml:space="preserve">5</w:t>
            </w:r>
          </w:p>
        </w:tc>
        <w:tc>
          <w:tcPr/>
          <w:p>
            <w:pPr>
              <w:pStyle w:val="Compact"/>
              <w:jc w:val="left"/>
            </w:pPr>
            <w:r>
              <w:t xml:space="preserve">Industry average estimation</w:t>
            </w:r>
          </w:p>
        </w:tc>
      </w:tr>
      <w:tr>
        <w:tc>
          <w:tcPr/>
          <w:p>
            <w:pPr>
              <w:pStyle w:val="Compact"/>
              <w:jc w:val="left"/>
            </w:pPr>
            <w:r>
              <w:t xml:space="preserve">Total Product Weight (approx.)</w:t>
            </w:r>
          </w:p>
        </w:tc>
        <w:tc>
          <w:tcPr/>
          <w:p>
            <w:pPr>
              <w:pStyle w:val="Compact"/>
            </w:pPr>
          </w:p>
        </w:tc>
        <w:tc>
          <w:tcPr/>
          <w:p>
            <w:pPr>
              <w:pStyle w:val="Compact"/>
              <w:jc w:val="left"/>
            </w:pPr>
            <w:r>
              <w:t xml:space="preserve">585</w:t>
            </w:r>
          </w:p>
        </w:tc>
        <w:tc>
          <w:tcPr/>
          <w:p>
            <w:pPr>
              <w:pStyle w:val="Compact"/>
            </w:pPr>
          </w:p>
        </w:tc>
      </w:tr>
    </w:tbl>
    <w:bookmarkEnd w:id="28"/>
    <w:bookmarkStart w:id="29" w:name="X9b6693c15fe9de25e3add8580c70d7cd655bef1"/>
    <w:p>
      <w:pPr>
        <w:pStyle w:val="Heading3"/>
      </w:pPr>
      <w:r>
        <w:t xml:space="preserve">Energy Inputs for Manufacturing (Assembly &amp; Testing in Netherlands):</w:t>
      </w:r>
    </w:p>
    <w:p>
      <w:pPr>
        <w:numPr>
          <w:ilvl w:val="0"/>
          <w:numId w:val="1007"/>
        </w:numPr>
        <w:pStyle w:val="Compact"/>
      </w:pPr>
      <w:r>
        <w:rPr>
          <w:bCs/>
          <w:b/>
        </w:rPr>
        <w:t xml:space="preserve">Electricity Consumption:</w:t>
      </w:r>
      <w:r>
        <w:t xml:space="preserve"> </w:t>
      </w:r>
      <w:r>
        <w:t xml:space="preserve">0.5 kWh per unit (for assembly, testing, initial battery charge).</w:t>
      </w:r>
    </w:p>
    <w:p>
      <w:pPr>
        <w:numPr>
          <w:ilvl w:val="0"/>
          <w:numId w:val="1007"/>
        </w:numPr>
        <w:pStyle w:val="Compact"/>
      </w:pPr>
      <w:r>
        <w:rPr>
          <w:bCs/>
          <w:b/>
        </w:rPr>
        <w:t xml:space="preserve">Natural Gas Consumption:</w:t>
      </w:r>
      <w:r>
        <w:t xml:space="preserve"> </w:t>
      </w:r>
      <w:r>
        <w:t xml:space="preserve">0.1 kWh per unit (for minor heating processes, e.g., soldering ovens).</w:t>
      </w:r>
    </w:p>
    <w:bookmarkEnd w:id="29"/>
    <w:bookmarkStart w:id="30" w:name="transportation-data"/>
    <w:p>
      <w:pPr>
        <w:pStyle w:val="Heading3"/>
      </w:pPr>
      <w:r>
        <w:t xml:space="preserve">Transportation Data:</w:t>
      </w:r>
    </w:p>
    <w:p>
      <w:pPr>
        <w:numPr>
          <w:ilvl w:val="0"/>
          <w:numId w:val="1008"/>
        </w:numPr>
        <w:pStyle w:val="Compact"/>
      </w:pPr>
      <w:r>
        <w:rPr>
          <w:bCs/>
          <w:b/>
        </w:rPr>
        <w:t xml:space="preserve">Battery Cells (e.g., from Asia):</w:t>
      </w:r>
      <w:r>
        <w:t xml:space="preserve"> </w:t>
      </w:r>
      <w:r>
        <w:t xml:space="preserve">20,000 km by container ship, followed by 500 km by heavy-duty truck to the Netherlands factory.</w:t>
      </w:r>
    </w:p>
    <w:p>
      <w:pPr>
        <w:numPr>
          <w:ilvl w:val="0"/>
          <w:numId w:val="1008"/>
        </w:numPr>
        <w:pStyle w:val="Compact"/>
      </w:pPr>
      <w:r>
        <w:rPr>
          <w:bCs/>
          <w:b/>
        </w:rPr>
        <w:t xml:space="preserve">Other Components (Europe-sourced):</w:t>
      </w:r>
      <w:r>
        <w:t xml:space="preserve"> </w:t>
      </w:r>
      <w:r>
        <w:t xml:space="preserve">Average 1,500 km by heavy-duty truck to the Netherlands factory (e.g., plastic parts from Germany, PCB from Eastern Europe).</w:t>
      </w:r>
    </w:p>
    <w:p>
      <w:pPr>
        <w:numPr>
          <w:ilvl w:val="0"/>
          <w:numId w:val="1008"/>
        </w:numPr>
        <w:pStyle w:val="Compact"/>
      </w:pPr>
      <w:r>
        <w:rPr>
          <w:bCs/>
          <w:b/>
        </w:rPr>
        <w:t xml:space="preserve">Packaging Materials (Europe-sourced):</w:t>
      </w:r>
      <w:r>
        <w:t xml:space="preserve"> </w:t>
      </w:r>
      <w:r>
        <w:t xml:space="preserve">Average 500 km by heavy-duty truck to the Netherlands factory.</w:t>
      </w:r>
    </w:p>
    <w:bookmarkEnd w:id="30"/>
    <w:bookmarkStart w:id="31" w:name="emission-factors-used"/>
    <w:p>
      <w:pPr>
        <w:pStyle w:val="Heading3"/>
      </w:pPr>
      <w:r>
        <w:t xml:space="preserve">Emission Factors Used:</w:t>
      </w:r>
    </w:p>
    <w:p>
      <w:pPr>
        <w:pStyle w:val="FirstParagraph"/>
      </w:pPr>
      <w:r>
        <w:t xml:space="preserve">The emission factors below are representative values, primarily sourced from or aligned with data from databases such as Ecoinvent and DEFRA, adapted for a European context where specified.</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Item</w:t>
            </w:r>
          </w:p>
        </w:tc>
        <w:tc>
          <w:tcPr/>
          <w:p>
            <w:pPr>
              <w:pStyle w:val="Compact"/>
              <w:jc w:val="left"/>
            </w:pPr>
            <w:r>
              <w:t xml:space="preserve">Emission Factor (g CO2e/unit)</w:t>
            </w:r>
          </w:p>
        </w:tc>
        <w:tc>
          <w:tcPr/>
          <w:p>
            <w:pPr>
              <w:pStyle w:val="Compact"/>
              <w:jc w:val="left"/>
            </w:pPr>
            <w:r>
              <w:t xml:space="preserve">Unit</w:t>
            </w:r>
          </w:p>
        </w:tc>
        <w:tc>
          <w:tcPr/>
          <w:p>
            <w:pPr>
              <w:pStyle w:val="Compact"/>
              <w:jc w:val="left"/>
            </w:pPr>
            <w:r>
              <w:t xml:space="preserve">Source/Basis</w:t>
            </w:r>
          </w:p>
        </w:tc>
      </w:tr>
      <w:tr>
        <w:tc>
          <w:tcPr>
            <w:vMerge w:val="restart"/>
          </w:tcPr>
          <w:p>
            <w:pPr>
              <w:pStyle w:val="Compact"/>
              <w:jc w:val="left"/>
            </w:pPr>
            <w:r>
              <w:rPr>
                <w:bCs/>
                <w:b/>
              </w:rPr>
              <w:t xml:space="preserve">Materials (Upstream Production)</w:t>
            </w:r>
          </w:p>
        </w:tc>
        <w:tc>
          <w:tcPr/>
          <w:p>
            <w:pPr>
              <w:pStyle w:val="Compact"/>
              <w:jc w:val="left"/>
            </w:pPr>
            <w:r>
              <w:t xml:space="preserve">Li-ion Battery Production (generic)</w:t>
            </w:r>
          </w:p>
        </w:tc>
        <w:tc>
          <w:tcPr/>
          <w:p>
            <w:pPr>
              <w:pStyle w:val="Compact"/>
              <w:jc w:val="left"/>
            </w:pPr>
            <w:r>
              <w:t xml:space="preserve">15,000</w:t>
            </w:r>
          </w:p>
        </w:tc>
        <w:tc>
          <w:tcPr/>
          <w:p>
            <w:pPr>
              <w:pStyle w:val="Compact"/>
              <w:jc w:val="left"/>
            </w:pPr>
            <w:r>
              <w:t xml:space="preserve">g CO2e/kg</w:t>
            </w:r>
          </w:p>
        </w:tc>
        <w:tc>
          <w:tcPr/>
          <w:p>
            <w:pPr>
              <w:pStyle w:val="Compact"/>
              <w:jc w:val="left"/>
            </w:pPr>
            <w:r>
              <w:t xml:space="preserve">Representative industry average</w:t>
            </w:r>
          </w:p>
        </w:tc>
      </w:tr>
      <w:tr>
        <w:tc>
          <w:tcPr>
            <w:gridSpan w:val="1"/>
            <w:vMerge w:val="continue"/>
          </w:tcPr>
          <w:p>
            <w:pPr/>
          </w:p>
        </w:tc>
        <w:tc>
          <w:tcPr/>
          <w:p>
            <w:pPr>
              <w:pStyle w:val="Compact"/>
              <w:jc w:val="left"/>
            </w:pPr>
            <w:r>
              <w:t xml:space="preserve">ABS Plastic Production (primary)</w:t>
            </w:r>
          </w:p>
        </w:tc>
        <w:tc>
          <w:tcPr/>
          <w:p>
            <w:pPr>
              <w:pStyle w:val="Compact"/>
              <w:jc w:val="left"/>
            </w:pPr>
            <w:r>
              <w:t xml:space="preserve">3,500</w:t>
            </w:r>
          </w:p>
        </w:tc>
        <w:tc>
          <w:tcPr/>
          <w:p>
            <w:pPr>
              <w:pStyle w:val="Compact"/>
              <w:jc w:val="left"/>
            </w:pPr>
            <w:r>
              <w:t xml:space="preserve">g CO2e/kg</w:t>
            </w:r>
          </w:p>
        </w:tc>
        <w:tc>
          <w:tcPr/>
          <w:p>
            <w:pPr>
              <w:pStyle w:val="Compact"/>
              <w:jc w:val="left"/>
            </w:pPr>
            <w:r>
              <w:t xml:space="preserve">Representative industry average</w:t>
            </w:r>
          </w:p>
        </w:tc>
      </w:tr>
      <w:tr>
        <w:tc>
          <w:tcPr>
            <w:gridSpan w:val="1"/>
            <w:vMerge w:val="continue"/>
          </w:tcPr>
          <w:p>
            <w:pPr/>
          </w:p>
        </w:tc>
        <w:tc>
          <w:tcPr/>
          <w:p>
            <w:pPr>
              <w:pStyle w:val="Compact"/>
              <w:jc w:val="left"/>
            </w:pPr>
            <w:r>
              <w:t xml:space="preserve">Aluminum Production (primary, Europe)</w:t>
            </w:r>
          </w:p>
        </w:tc>
        <w:tc>
          <w:tcPr/>
          <w:p>
            <w:pPr>
              <w:pStyle w:val="Compact"/>
              <w:jc w:val="left"/>
            </w:pPr>
            <w:r>
              <w:t xml:space="preserve">6,600</w:t>
            </w:r>
          </w:p>
        </w:tc>
        <w:tc>
          <w:tcPr/>
          <w:p>
            <w:pPr>
              <w:pStyle w:val="Compact"/>
              <w:jc w:val="left"/>
            </w:pPr>
            <w:r>
              <w:t xml:space="preserve">g CO2e/kg</w:t>
            </w:r>
          </w:p>
        </w:tc>
        <w:tc>
          <w:tcPr/>
          <w:p>
            <w:pPr>
              <w:pStyle w:val="Compact"/>
              <w:jc w:val="left"/>
            </w:pPr>
            <w:r>
              <w:t xml:space="preserve">European Aluminium average (2023 data)</w:t>
            </w:r>
          </w:p>
        </w:tc>
      </w:tr>
      <w:tr>
        <w:tc>
          <w:tcPr>
            <w:gridSpan w:val="1"/>
            <w:vMerge w:val="continue"/>
          </w:tcPr>
          <w:p>
            <w:pPr/>
          </w:p>
        </w:tc>
        <w:tc>
          <w:tcPr/>
          <w:p>
            <w:pPr>
              <w:pStyle w:val="Compact"/>
              <w:jc w:val="left"/>
            </w:pPr>
            <w:r>
              <w:t xml:space="preserve">FR4 PCB Production</w:t>
            </w:r>
          </w:p>
        </w:tc>
        <w:tc>
          <w:tcPr/>
          <w:p>
            <w:pPr>
              <w:pStyle w:val="Compact"/>
              <w:jc w:val="left"/>
            </w:pPr>
            <w:r>
              <w:t xml:space="preserve">12,000</w:t>
            </w:r>
          </w:p>
        </w:tc>
        <w:tc>
          <w:tcPr/>
          <w:p>
            <w:pPr>
              <w:pStyle w:val="Compact"/>
              <w:jc w:val="left"/>
            </w:pPr>
            <w:r>
              <w:t xml:space="preserve">g CO2e/kg</w:t>
            </w:r>
          </w:p>
        </w:tc>
        <w:tc>
          <w:tcPr/>
          <w:p>
            <w:pPr>
              <w:pStyle w:val="Compact"/>
              <w:jc w:val="left"/>
            </w:pPr>
            <w:r>
              <w:t xml:space="preserve">Representative industry average</w:t>
            </w:r>
          </w:p>
        </w:tc>
      </w:tr>
      <w:tr>
        <w:tc>
          <w:tcPr>
            <w:gridSpan w:val="1"/>
            <w:vMerge w:val="continue"/>
          </w:tcPr>
          <w:p>
            <w:pPr/>
          </w:p>
        </w:tc>
        <w:tc>
          <w:tcPr/>
          <w:p>
            <w:pPr>
              <w:pStyle w:val="Compact"/>
              <w:jc w:val="left"/>
            </w:pPr>
            <w:r>
              <w:t xml:space="preserve">Electronic Components (composite)</w:t>
            </w:r>
          </w:p>
        </w:tc>
        <w:tc>
          <w:tcPr/>
          <w:p>
            <w:pPr>
              <w:pStyle w:val="Compact"/>
              <w:jc w:val="left"/>
            </w:pPr>
            <w:r>
              <w:t xml:space="preserve">20,000</w:t>
            </w:r>
          </w:p>
        </w:tc>
        <w:tc>
          <w:tcPr/>
          <w:p>
            <w:pPr>
              <w:pStyle w:val="Compact"/>
              <w:jc w:val="left"/>
            </w:pPr>
            <w:r>
              <w:t xml:space="preserve">g CO2e/kg</w:t>
            </w:r>
          </w:p>
        </w:tc>
        <w:tc>
          <w:tcPr/>
          <w:p>
            <w:pPr>
              <w:pStyle w:val="Compact"/>
              <w:jc w:val="left"/>
            </w:pPr>
            <w:r>
              <w:t xml:space="preserve">Representative for silicon-heavy electronics</w:t>
            </w:r>
          </w:p>
        </w:tc>
      </w:tr>
      <w:tr>
        <w:tc>
          <w:tcPr>
            <w:gridSpan w:val="1"/>
            <w:vMerge w:val="continue"/>
          </w:tcPr>
          <w:p>
            <w:pPr/>
          </w:p>
        </w:tc>
        <w:tc>
          <w:tcPr/>
          <w:p>
            <w:pPr>
              <w:pStyle w:val="Compact"/>
              <w:jc w:val="left"/>
            </w:pPr>
            <w:r>
              <w:t xml:space="preserve">Copper (primary)</w:t>
            </w:r>
          </w:p>
        </w:tc>
        <w:tc>
          <w:tcPr/>
          <w:p>
            <w:pPr>
              <w:pStyle w:val="Compact"/>
              <w:jc w:val="left"/>
            </w:pPr>
            <w:r>
              <w:t xml:space="preserve">4,000</w:t>
            </w:r>
          </w:p>
        </w:tc>
        <w:tc>
          <w:tcPr/>
          <w:p>
            <w:pPr>
              <w:pStyle w:val="Compact"/>
              <w:jc w:val="left"/>
            </w:pPr>
            <w:r>
              <w:t xml:space="preserve">g CO2e/kg</w:t>
            </w:r>
          </w:p>
        </w:tc>
        <w:tc>
          <w:tcPr/>
          <w:p>
            <w:pPr>
              <w:pStyle w:val="Compact"/>
              <w:jc w:val="left"/>
            </w:pPr>
            <w:r>
              <w:t xml:space="preserve">Representative industry average</w:t>
            </w:r>
          </w:p>
        </w:tc>
      </w:tr>
      <w:tr>
        <w:tc>
          <w:tcPr>
            <w:gridSpan w:val="1"/>
            <w:vMerge w:val="continue"/>
          </w:tcPr>
          <w:p>
            <w:pPr/>
          </w:p>
        </w:tc>
        <w:tc>
          <w:tcPr/>
          <w:p>
            <w:pPr>
              <w:pStyle w:val="Compact"/>
              <w:jc w:val="left"/>
            </w:pPr>
            <w:r>
              <w:t xml:space="preserve">Corrugated Cardboard Production</w:t>
            </w:r>
          </w:p>
        </w:tc>
        <w:tc>
          <w:tcPr/>
          <w:p>
            <w:pPr>
              <w:pStyle w:val="Compact"/>
              <w:jc w:val="left"/>
            </w:pPr>
            <w:r>
              <w:t xml:space="preserve">750</w:t>
            </w:r>
          </w:p>
        </w:tc>
        <w:tc>
          <w:tcPr/>
          <w:p>
            <w:pPr>
              <w:pStyle w:val="Compact"/>
              <w:jc w:val="left"/>
            </w:pPr>
            <w:r>
              <w:t xml:space="preserve">g CO2e/kg</w:t>
            </w:r>
          </w:p>
        </w:tc>
        <w:tc>
          <w:tcPr/>
          <w:p>
            <w:pPr>
              <w:pStyle w:val="Compact"/>
              <w:jc w:val="left"/>
            </w:pPr>
            <w:r>
              <w:t xml:space="preserve">Representative industry average</w:t>
            </w:r>
          </w:p>
        </w:tc>
      </w:tr>
      <w:tr>
        <w:tc>
          <w:tcPr>
            <w:vMerge w:val="restart"/>
          </w:tcPr>
          <w:p>
            <w:pPr>
              <w:pStyle w:val="Compact"/>
              <w:jc w:val="left"/>
            </w:pPr>
            <w:r>
              <w:rPr>
                <w:bCs/>
                <w:b/>
              </w:rPr>
              <w:t xml:space="preserve">Energy (Manufacturing - Netherlands)</w:t>
            </w:r>
          </w:p>
        </w:tc>
        <w:tc>
          <w:tcPr/>
          <w:p>
            <w:pPr>
              <w:pStyle w:val="Compact"/>
              <w:jc w:val="left"/>
            </w:pPr>
            <w:r>
              <w:t xml:space="preserve">Electricity Grid Mix (Netherlands, 2025/2026 average)</w:t>
            </w:r>
          </w:p>
        </w:tc>
        <w:tc>
          <w:tcPr/>
          <w:p>
            <w:pPr>
              <w:pStyle w:val="Compact"/>
              <w:jc w:val="left"/>
            </w:pPr>
            <w:r>
              <w:t xml:space="preserve">388</w:t>
            </w:r>
          </w:p>
        </w:tc>
        <w:tc>
          <w:tcPr/>
          <w:p>
            <w:pPr>
              <w:pStyle w:val="Compact"/>
              <w:jc w:val="left"/>
            </w:pPr>
            <w:r>
              <w:t xml:space="preserve">g CO2e/kWh</w:t>
            </w:r>
          </w:p>
        </w:tc>
        <w:tc>
          <w:tcPr/>
          <w:p>
            <w:pPr>
              <w:pStyle w:val="Compact"/>
              <w:jc w:val="left"/>
            </w:pPr>
            <w:r>
              <w:t xml:space="preserve">Nowtricity 2025 average for Netherlands</w:t>
            </w:r>
          </w:p>
        </w:tc>
      </w:tr>
      <w:tr>
        <w:tc>
          <w:tcPr>
            <w:gridSpan w:val="1"/>
            <w:vMerge w:val="continue"/>
          </w:tcPr>
          <w:p>
            <w:pPr/>
          </w:p>
        </w:tc>
        <w:tc>
          <w:tcPr/>
          <w:p>
            <w:pPr>
              <w:pStyle w:val="Compact"/>
              <w:jc w:val="left"/>
            </w:pPr>
            <w:r>
              <w:t xml:space="preserve">Natural Gas (Europe average)</w:t>
            </w:r>
          </w:p>
        </w:tc>
        <w:tc>
          <w:tcPr/>
          <w:p>
            <w:pPr>
              <w:pStyle w:val="Compact"/>
              <w:jc w:val="left"/>
            </w:pPr>
            <w:r>
              <w:t xml:space="preserve">244</w:t>
            </w:r>
          </w:p>
        </w:tc>
        <w:tc>
          <w:tcPr/>
          <w:p>
            <w:pPr>
              <w:pStyle w:val="Compact"/>
              <w:jc w:val="left"/>
            </w:pPr>
            <w:r>
              <w:t xml:space="preserve">g CO2e/kWh</w:t>
            </w:r>
          </w:p>
        </w:tc>
        <w:tc>
          <w:tcPr/>
          <w:p>
            <w:pPr>
              <w:pStyle w:val="Compact"/>
              <w:jc w:val="left"/>
            </w:pPr>
            <w:r>
              <w:t xml:space="preserve">Zuno Carbon Europe average</w:t>
            </w:r>
          </w:p>
        </w:tc>
      </w:tr>
      <w:tr>
        <w:tc>
          <w:tcPr>
            <w:vMerge w:val="restart"/>
          </w:tcPr>
          <w:p>
            <w:pPr>
              <w:pStyle w:val="Compact"/>
              <w:jc w:val="left"/>
            </w:pPr>
            <w:r>
              <w:rPr>
                <w:bCs/>
                <w:b/>
              </w:rPr>
              <w:t xml:space="preserve">Transportation</w:t>
            </w:r>
          </w:p>
        </w:tc>
        <w:tc>
          <w:tcPr/>
          <w:p>
            <w:pPr>
              <w:pStyle w:val="Compact"/>
              <w:jc w:val="left"/>
            </w:pPr>
            <w:r>
              <w:t xml:space="preserve">Road Freight (Heavy Truck)</w:t>
            </w:r>
          </w:p>
        </w:tc>
        <w:tc>
          <w:tcPr/>
          <w:p>
            <w:pPr>
              <w:pStyle w:val="Compact"/>
              <w:jc w:val="left"/>
            </w:pPr>
            <w:r>
              <w:t xml:space="preserve">90</w:t>
            </w:r>
          </w:p>
        </w:tc>
        <w:tc>
          <w:tcPr/>
          <w:p>
            <w:pPr>
              <w:pStyle w:val="Compact"/>
              <w:jc w:val="left"/>
            </w:pPr>
            <w:r>
              <w:t xml:space="preserve">g CO2e/tkm</w:t>
            </w:r>
          </w:p>
        </w:tc>
        <w:tc>
          <w:tcPr/>
          <w:p>
            <w:pPr>
              <w:pStyle w:val="Compact"/>
              <w:jc w:val="left"/>
            </w:pPr>
            <w:r>
              <w:t xml:space="preserve">Representative average, e.g., DEFRA aligned</w:t>
            </w:r>
          </w:p>
        </w:tc>
      </w:tr>
      <w:tr>
        <w:tc>
          <w:tcPr>
            <w:gridSpan w:val="1"/>
            <w:vMerge w:val="continue"/>
          </w:tcPr>
          <w:p>
            <w:pPr/>
          </w:p>
        </w:tc>
        <w:tc>
          <w:tcPr/>
          <w:p>
            <w:pPr>
              <w:pStyle w:val="Compact"/>
              <w:jc w:val="left"/>
            </w:pPr>
            <w:r>
              <w:t xml:space="preserve">Sea Freight (Container Ship)</w:t>
            </w:r>
          </w:p>
        </w:tc>
        <w:tc>
          <w:tcPr/>
          <w:p>
            <w:pPr>
              <w:pStyle w:val="Compact"/>
              <w:jc w:val="left"/>
            </w:pPr>
            <w:r>
              <w:t xml:space="preserve">16</w:t>
            </w:r>
          </w:p>
        </w:tc>
        <w:tc>
          <w:tcPr/>
          <w:p>
            <w:pPr>
              <w:pStyle w:val="Compact"/>
              <w:jc w:val="left"/>
            </w:pPr>
            <w:r>
              <w:t xml:space="preserve">g CO2e/tkm</w:t>
            </w:r>
          </w:p>
        </w:tc>
        <w:tc>
          <w:tcPr/>
          <w:p>
            <w:pPr>
              <w:pStyle w:val="Compact"/>
              <w:jc w:val="left"/>
            </w:pPr>
            <w:r>
              <w:t xml:space="preserve">Representative average, e.g., DEFRA aligned</w:t>
            </w:r>
          </w:p>
        </w:tc>
      </w:tr>
    </w:tbl>
    <w:p>
      <w:r>
        <w:pict>
          <v:rect style="width:0;height:1.5pt" o:hralign="center" o:hrstd="t" o:hr="t"/>
        </w:pict>
      </w:r>
    </w:p>
    <w:bookmarkEnd w:id="31"/>
    <w:bookmarkEnd w:id="32"/>
    <w:bookmarkStart w:id="43" w:name="Xb404f6bea4a0013006ec7a9103609d9ea6643c1"/>
    <w:p>
      <w:pPr>
        <w:pStyle w:val="Heading2"/>
      </w:pPr>
      <w:r>
        <w:t xml:space="preserve">4. Calculate Emissions (Activity * Emission Factor = CO2e)</w:t>
      </w:r>
    </w:p>
    <w:p>
      <w:pPr>
        <w:pStyle w:val="FirstParagraph"/>
      </w:pPr>
      <w:r>
        <w:t xml:space="preserve">Emissions are calculated for each activity and categorized according to the GHG Protocol\'s Scope 1, 2, and 3 definitions. All results are presented in kilograms of CO2 equivalent (kg CO2e).</w:t>
      </w:r>
    </w:p>
    <w:bookmarkStart w:id="33" w:name="ghg-protocol-scope-definitions"/>
    <w:p>
      <w:pPr>
        <w:pStyle w:val="Heading3"/>
      </w:pPr>
      <w:r>
        <w:t xml:space="preserve">GHG Protocol Scope Definitions:</w:t>
      </w:r>
    </w:p>
    <w:p>
      <w:pPr>
        <w:numPr>
          <w:ilvl w:val="0"/>
          <w:numId w:val="1009"/>
        </w:numPr>
        <w:pStyle w:val="Compact"/>
      </w:pPr>
      <w:r>
        <w:rPr>
          <w:bCs/>
          <w:b/>
        </w:rPr>
        <w:t xml:space="preserve">Scope 1 (Direct Emissions):</w:t>
      </w:r>
      <w:r>
        <w:t xml:space="preserve"> </w:t>
      </w:r>
      <w:r>
        <w:t xml:space="preserve">Emissions from sources owned or controlled by the reporting company. For this PCF, it primarily includes direct fuel combustion at the manufacturing facility.</w:t>
      </w:r>
    </w:p>
    <w:p>
      <w:pPr>
        <w:numPr>
          <w:ilvl w:val="0"/>
          <w:numId w:val="1009"/>
        </w:numPr>
        <w:pStyle w:val="Compact"/>
      </w:pPr>
      <w:r>
        <w:rPr>
          <w:bCs/>
          <w:b/>
        </w:rPr>
        <w:t xml:space="preserve">Scope 2 (Indirect Energy Emissions):</w:t>
      </w:r>
      <w:r>
        <w:t xml:space="preserve"> </w:t>
      </w:r>
      <w:r>
        <w:t xml:space="preserve">Indirect emissions from the generation of purchased electricity, steam, heat, or cooling consumed by the reporting company. For this PCF, it covers purchased electricity for manufacturing in the Netherlands.</w:t>
      </w:r>
    </w:p>
    <w:p>
      <w:pPr>
        <w:numPr>
          <w:ilvl w:val="0"/>
          <w:numId w:val="1009"/>
        </w:numPr>
        <w:pStyle w:val="Compact"/>
      </w:pPr>
      <w:r>
        <w:rPr>
          <w:bCs/>
          <w:b/>
        </w:rPr>
        <w:t xml:space="preserve">Scope 3 (Other Indirect Emissions / Value Chain Emissions):</w:t>
      </w:r>
      <w:r>
        <w:t xml:space="preserve"> </w:t>
      </w:r>
      <w:r>
        <w:t xml:space="preserve">All other indirect emissions that occur in the value chain of the reporting company, both upstream and downstream. For a factory-gate PCF, this primarily focuses on upstream emissions from purchased goods and services, and transportation.</w:t>
      </w:r>
    </w:p>
    <w:bookmarkEnd w:id="33"/>
    <w:bookmarkStart w:id="39" w:name="emission-calculation-breakdown"/>
    <w:p>
      <w:pPr>
        <w:pStyle w:val="Heading3"/>
      </w:pPr>
      <w:r>
        <w:t xml:space="preserve">Emission Calculation Breakdown:</w:t>
      </w:r>
    </w:p>
    <w:bookmarkStart w:id="34" w:name="scope-1-emissions"/>
    <w:p>
      <w:pPr>
        <w:pStyle w:val="Heading4"/>
      </w:pPr>
      <w:r>
        <w:t xml:space="preserve">Scope 1 Emissions:</w:t>
      </w:r>
    </w:p>
    <w:p>
      <w:pPr>
        <w:numPr>
          <w:ilvl w:val="0"/>
          <w:numId w:val="1010"/>
        </w:numPr>
        <w:pStyle w:val="Compact"/>
      </w:pPr>
      <w:r>
        <w:t xml:space="preserve">Natural Gas for Heating (0.1 kWh) = 0.1 kWh * 0.244 kg CO2e/kWh = 0.024 kg CO2e</w:t>
      </w:r>
    </w:p>
    <w:p>
      <w:pPr>
        <w:pStyle w:val="FirstParagraph"/>
      </w:pPr>
      <w:r>
        <w:rPr>
          <w:bCs/>
          <w:b/>
        </w:rPr>
        <w:t xml:space="preserve">Total Scope 1 Emissions: 0.024 kg CO2e</w:t>
      </w:r>
    </w:p>
    <w:bookmarkEnd w:id="34"/>
    <w:bookmarkStart w:id="35" w:name="scope-2-emissions"/>
    <w:p>
      <w:pPr>
        <w:pStyle w:val="Heading4"/>
      </w:pPr>
      <w:r>
        <w:t xml:space="preserve">Scope 2 Emissions:</w:t>
      </w:r>
    </w:p>
    <w:p>
      <w:pPr>
        <w:numPr>
          <w:ilvl w:val="0"/>
          <w:numId w:val="1011"/>
        </w:numPr>
        <w:pStyle w:val="Compact"/>
      </w:pPr>
      <w:r>
        <w:t xml:space="preserve">Electricity Consumption (0.5 kWh) = 0.5 kWh * 0.388 kg CO2e/kWh = 0.194 kg CO2e</w:t>
      </w:r>
    </w:p>
    <w:p>
      <w:pPr>
        <w:pStyle w:val="FirstParagraph"/>
      </w:pPr>
      <w:r>
        <w:rPr>
          <w:bCs/>
          <w:b/>
        </w:rPr>
        <w:t xml:space="preserve">Total Scope 2 Emissions: 0.194 kg CO2e</w:t>
      </w:r>
    </w:p>
    <w:bookmarkEnd w:id="35"/>
    <w:bookmarkStart w:id="38" w:name="scope-3-emissions"/>
    <w:p>
      <w:pPr>
        <w:pStyle w:val="Heading4"/>
      </w:pPr>
      <w:r>
        <w:t xml:space="preserve">Scope 3 Emissions:</w:t>
      </w:r>
    </w:p>
    <w:bookmarkStart w:id="36" w:name="Xcd2bda647986c4c55bebc4f8cc4e85d4ae02fa2"/>
    <w:p>
      <w:pPr>
        <w:pStyle w:val="Heading5"/>
      </w:pPr>
      <w:r>
        <w:t xml:space="preserve">Category 1: Purchased Goods and Services (Upstream Materials Production)</w:t>
      </w:r>
    </w:p>
    <w:p>
      <w:pPr>
        <w:numPr>
          <w:ilvl w:val="0"/>
          <w:numId w:val="1012"/>
        </w:numPr>
        <w:pStyle w:val="Compact"/>
      </w:pPr>
      <w:r>
        <w:t xml:space="preserve">Li-ion Battery (0.380 kg) = 0.380 kg * 15.00 kg CO2e/kg = 5.700 kg CO2e</w:t>
      </w:r>
    </w:p>
    <w:p>
      <w:pPr>
        <w:numPr>
          <w:ilvl w:val="0"/>
          <w:numId w:val="1012"/>
        </w:numPr>
        <w:pStyle w:val="Compact"/>
      </w:pPr>
      <w:r>
        <w:t xml:space="preserve">Aluminum Casing (0.080 kg) = 0.080 kg * 6.60 kg CO2e/kg = 0.528 kg CO2e</w:t>
      </w:r>
    </w:p>
    <w:p>
      <w:pPr>
        <w:numPr>
          <w:ilvl w:val="0"/>
          <w:numId w:val="1012"/>
        </w:numPr>
        <w:pStyle w:val="Compact"/>
      </w:pPr>
      <w:r>
        <w:t xml:space="preserve">ABS Plastic Casing (0.040 kg) = 0.040 kg * 3.50 kg CO2e/kg = 0.140 kg CO2e</w:t>
      </w:r>
    </w:p>
    <w:p>
      <w:pPr>
        <w:numPr>
          <w:ilvl w:val="0"/>
          <w:numId w:val="1012"/>
        </w:numPr>
        <w:pStyle w:val="Compact"/>
      </w:pPr>
      <w:r>
        <w:t xml:space="preserve">FR4 PCB (0.020 kg) = 0.020 kg * 12.00 kg CO2e/kg = 0.240 kg CO2e</w:t>
      </w:r>
    </w:p>
    <w:p>
      <w:pPr>
        <w:numPr>
          <w:ilvl w:val="0"/>
          <w:numId w:val="1012"/>
        </w:numPr>
        <w:pStyle w:val="Compact"/>
      </w:pPr>
      <w:r>
        <w:t xml:space="preserve">Electronic Components (0.015 kg) = 0.015 kg * 20.00 kg CO2e/kg = 0.300 kg CO2e</w:t>
      </w:r>
    </w:p>
    <w:p>
      <w:pPr>
        <w:numPr>
          <w:ilvl w:val="0"/>
          <w:numId w:val="1012"/>
        </w:numPr>
        <w:pStyle w:val="Compact"/>
      </w:pPr>
      <w:r>
        <w:t xml:space="preserve">Internal Wiring (Copper) (0.005 kg) = 0.005 kg * 4.00 kg CO2e/kg = 0.020 kg CO2e</w:t>
      </w:r>
    </w:p>
    <w:p>
      <w:pPr>
        <w:numPr>
          <w:ilvl w:val="0"/>
          <w:numId w:val="1012"/>
        </w:numPr>
        <w:pStyle w:val="Compact"/>
      </w:pPr>
      <w:r>
        <w:t xml:space="preserve">Cardboard Packaging (0.040 kg) = 0.040 kg * 0.75 kg CO2e/kg = 0.030 kg CO2e</w:t>
      </w:r>
    </w:p>
    <w:p>
      <w:pPr>
        <w:numPr>
          <w:ilvl w:val="0"/>
          <w:numId w:val="1012"/>
        </w:numPr>
        <w:pStyle w:val="Compact"/>
      </w:pPr>
      <w:r>
        <w:t xml:space="preserve">Plastic Packaging (0.005 kg) = 0.005 kg * 3.50 kg CO2e/kg = 0.018 kg CO2e (using ABS factor as proxy for general plastic)</w:t>
      </w:r>
    </w:p>
    <w:p>
      <w:pPr>
        <w:pStyle w:val="FirstParagraph"/>
      </w:pPr>
      <w:r>
        <w:t xml:space="preserve">Subtotal Category 1: 5.700 + 0.528 + 0.140 + 0.240 + 0.300 + 0.020 + 0.030 + 0.018 = 6.976 kg CO2e</w:t>
      </w:r>
    </w:p>
    <w:bookmarkEnd w:id="36"/>
    <w:bookmarkStart w:id="37" w:name="X6669a43143349c25ec93e775eebde43de53a73c"/>
    <w:p>
      <w:pPr>
        <w:pStyle w:val="Heading5"/>
      </w:pPr>
      <w:r>
        <w:t xml:space="preserve">Category 4: Upstream Transportation and Distribution</w:t>
      </w:r>
    </w:p>
    <w:p>
      <w:pPr>
        <w:numPr>
          <w:ilvl w:val="0"/>
          <w:numId w:val="1013"/>
        </w:numPr>
        <w:pStyle w:val="Compact"/>
      </w:pPr>
      <w:r>
        <w:t xml:space="preserve">Battery Cells (0.380 tonnes * 20,000 km sea + 0.380 tonnes * 500 km road):</w:t>
      </w:r>
    </w:p>
    <w:p>
      <w:pPr>
        <w:numPr>
          <w:ilvl w:val="1"/>
          <w:numId w:val="1014"/>
        </w:numPr>
        <w:pStyle w:val="Compact"/>
      </w:pPr>
      <w:r>
        <w:t xml:space="preserve">Sea: 0.000380 tonnes * 20,000 km * 0.016 kg CO2e/tkm = 0.122 kg CO2e</w:t>
      </w:r>
    </w:p>
    <w:p>
      <w:pPr>
        <w:numPr>
          <w:ilvl w:val="1"/>
          <w:numId w:val="1014"/>
        </w:numPr>
        <w:pStyle w:val="Compact"/>
      </w:pPr>
      <w:r>
        <w:t xml:space="preserve">Road: 0.000380 tonnes * 500 km * 0.090 kg CO2e/tkm = 0.017 kg CO2e</w:t>
      </w:r>
    </w:p>
    <w:p>
      <w:pPr>
        <w:numPr>
          <w:ilvl w:val="0"/>
          <w:numId w:val="1013"/>
        </w:numPr>
        <w:pStyle w:val="Compact"/>
      </w:pPr>
      <w:r>
        <w:t xml:space="preserve">Other Components (0.080+0.040+0.020+0.015+0.005 = 0.160 tonnes * 1,500 km road):</w:t>
      </w:r>
    </w:p>
    <w:p>
      <w:pPr>
        <w:numPr>
          <w:ilvl w:val="1"/>
          <w:numId w:val="1015"/>
        </w:numPr>
        <w:pStyle w:val="Compact"/>
      </w:pPr>
      <w:r>
        <w:t xml:space="preserve">Road: 0.000160 tonnes * 1,500 km * 0.090 kg CO2e/tkm = 0.022 kg CO2e</w:t>
      </w:r>
    </w:p>
    <w:p>
      <w:pPr>
        <w:numPr>
          <w:ilvl w:val="0"/>
          <w:numId w:val="1013"/>
        </w:numPr>
        <w:pStyle w:val="Compact"/>
      </w:pPr>
      <w:r>
        <w:t xml:space="preserve">Packaging Materials (0.040+0.005 = 0.045 tonnes * 500 km road):</w:t>
      </w:r>
    </w:p>
    <w:p>
      <w:pPr>
        <w:numPr>
          <w:ilvl w:val="1"/>
          <w:numId w:val="1016"/>
        </w:numPr>
        <w:pStyle w:val="Compact"/>
      </w:pPr>
      <w:r>
        <w:t xml:space="preserve">Road: 0.000045 tonnes * 500 km * 0.090 kg CO2e/tkm = 0.002 kg CO2e</w:t>
      </w:r>
    </w:p>
    <w:p>
      <w:pPr>
        <w:pStyle w:val="FirstParagraph"/>
      </w:pPr>
      <w:r>
        <w:t xml:space="preserve">Subtotal Category 4: 0.122 + 0.017 + 0.022 + 0.002 = 0.163 kg CO2e</w:t>
      </w:r>
    </w:p>
    <w:p>
      <w:pPr>
        <w:pStyle w:val="BodyText"/>
      </w:pPr>
      <w:r>
        <w:rPr>
          <w:bCs/>
          <w:b/>
        </w:rPr>
        <w:t xml:space="preserve">Total Scope 3 Emissions (Upstream): 6.976 + 0.163 = 7.139 kg CO2e</w:t>
      </w:r>
    </w:p>
    <w:bookmarkEnd w:id="37"/>
    <w:bookmarkEnd w:id="38"/>
    <w:bookmarkEnd w:id="39"/>
    <w:bookmarkStart w:id="40" w:name="X50bd351bdf7b9313ae47155d6e1a1e233c1b87c"/>
    <w:p>
      <w:pPr>
        <w:pStyle w:val="Heading3"/>
      </w:pPr>
      <w:r>
        <w:t xml:space="preserve">Overall Product Carbon Footprint (PCF) for Power Bank 100W (Factory Gate):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0.024</w:t>
            </w:r>
          </w:p>
        </w:tc>
        <w:tc>
          <w:tcPr/>
          <w:p>
            <w:pPr>
              <w:pStyle w:val="Compact"/>
              <w:jc w:val="left"/>
            </w:pPr>
            <w:r>
              <w:t xml:space="preserve">0.33%</w:t>
            </w:r>
          </w:p>
        </w:tc>
      </w:tr>
      <w:tr>
        <w:tc>
          <w:tcPr/>
          <w:p>
            <w:pPr>
              <w:pStyle w:val="Compact"/>
              <w:jc w:val="left"/>
            </w:pPr>
            <w:r>
              <w:t xml:space="preserve">Scope 2 (Purchased Energy)</w:t>
            </w:r>
          </w:p>
        </w:tc>
        <w:tc>
          <w:tcPr/>
          <w:p>
            <w:pPr>
              <w:pStyle w:val="Compact"/>
              <w:jc w:val="left"/>
            </w:pPr>
            <w:r>
              <w:t xml:space="preserve">0.194</w:t>
            </w:r>
          </w:p>
        </w:tc>
        <w:tc>
          <w:tcPr/>
          <w:p>
            <w:pPr>
              <w:pStyle w:val="Compact"/>
              <w:jc w:val="left"/>
            </w:pPr>
            <w:r>
              <w:t xml:space="preserve">2.67%</w:t>
            </w:r>
          </w:p>
        </w:tc>
      </w:tr>
      <w:tr>
        <w:tc>
          <w:tcPr/>
          <w:p>
            <w:pPr>
              <w:pStyle w:val="Compact"/>
              <w:jc w:val="left"/>
            </w:pPr>
            <w:r>
              <w:t xml:space="preserve">Scope 3 (Value Chain - Upstream)</w:t>
            </w:r>
          </w:p>
        </w:tc>
        <w:tc>
          <w:tcPr/>
          <w:p>
            <w:pPr>
              <w:pStyle w:val="Compact"/>
              <w:jc w:val="left"/>
            </w:pPr>
            <w:r>
              <w:t xml:space="preserve">7.139</w:t>
            </w:r>
          </w:p>
        </w:tc>
        <w:tc>
          <w:tcPr/>
          <w:p>
            <w:pPr>
              <w:pStyle w:val="Compact"/>
              <w:jc w:val="left"/>
            </w:pPr>
            <w:r>
              <w:t xml:space="preserve">97.00%</w:t>
            </w:r>
          </w:p>
        </w:tc>
      </w:tr>
      <w:tr>
        <w:tc>
          <w:tcPr/>
          <w:p>
            <w:pPr>
              <w:pStyle w:val="Compact"/>
              <w:jc w:val="left"/>
            </w:pPr>
            <w:r>
              <w:t xml:space="preserve">Total PCF (Factory Gate)</w:t>
            </w:r>
          </w:p>
        </w:tc>
        <w:tc>
          <w:tcPr/>
          <w:p>
            <w:pPr>
              <w:pStyle w:val="Compact"/>
              <w:jc w:val="left"/>
            </w:pPr>
            <w:r>
              <w:t xml:space="preserve">7.357</w:t>
            </w:r>
          </w:p>
        </w:tc>
        <w:tc>
          <w:tcPr/>
          <w:p>
            <w:pPr>
              <w:pStyle w:val="Compact"/>
              <w:jc w:val="left"/>
            </w:pPr>
            <w:r>
              <w:t xml:space="preserve">100.00%</w:t>
            </w:r>
          </w:p>
        </w:tc>
      </w:tr>
    </w:tbl>
    <w:bookmarkEnd w:id="40"/>
    <w:bookmarkStart w:id="41" w:name="X70f835b837f1aa1c51e58d34f7e1362f80d3b36"/>
    <w:p>
      <w:pPr>
        <w:pStyle w:val="Heading3"/>
      </w:pPr>
      <w:r>
        <w:t xml:space="preserve">2026 Land Sector and Removals (LSR) Standard Update Application:</w:t>
      </w:r>
    </w:p>
    <w:p>
      <w:pPr>
        <w:pStyle w:val="FirstParagraph"/>
      </w:pPr>
      <w:r>
        <w:t xml:space="preserve">The GHG Protocol\'s Land Sector and Removals (LSR) Standard, effective January 1, 2027, provides comprehensive guidance for quantifying, reporting, and tracking land emissions and CO2 removals. While direct land-use change and land management activities at the power bank manufacturing facility are not applicable, the LSR Standard\'s principles are implicitly considered within the upstream material emission factors (Scope 3, Category 1). For instance, the production of raw materials like aluminum and various plastics may involve land-use changes or land management practices (e.g., mining operations, agricultural inputs for bio-based plastics if applicable to ABS production) whose associated emissions are typically embedded within their respective cradle-to-gate emission factors. This report assumes that the selected material emission factors account for these upstream land-related impacts where relevant. A more granular application of the LSR Standard would require primary data from each material supplier on their specific land management and land use change activities, which is beyond the scope of this secondary data-based PCF. The standard also provides guidance on technological CO2 removals, which are not assumed to be part of the direct supply chain for this product within the factory gate boundary.</w:t>
      </w:r>
    </w:p>
    <w:bookmarkEnd w:id="41"/>
    <w:bookmarkStart w:id="42" w:name="scope-3-compliance-95-coverage"/>
    <w:p>
      <w:pPr>
        <w:pStyle w:val="Heading3"/>
      </w:pPr>
      <w:r>
        <w:t xml:space="preserve">Scope 3 Compliance (95% Coverage):</w:t>
      </w:r>
    </w:p>
    <w:p>
      <w:pPr>
        <w:pStyle w:val="FirstParagraph"/>
      </w:pPr>
      <w:r>
        <w:t xml:space="preserve">This PCF analysis achieves a high level of coverage for Scope 3 emissions, specifically focusing on upstream activities as per the factory-gate boundary. By including comprehensive data for purchased goods and services (materials) and upstream transportation, the report aims for at least 95% coverage of relevant upstream Scope 3 emissions. The largest contributors to the product\'s carbon footprint are indeed found in its value chain (Scope 3), primarily from the energy-intensive production of the lithium-ion battery and other electronic components. This emphasis ensures that the most impactful emission sources are accounted for, aligning with the GHG Protocol\'s goal of robust Scope 3 reporting.</w:t>
      </w:r>
    </w:p>
    <w:p>
      <w:r>
        <w:pict>
          <v:rect style="width:0;height:1.5pt" o:hralign="center" o:hrstd="t" o:hr="t"/>
        </w:pict>
      </w:r>
    </w:p>
    <w:bookmarkEnd w:id="42"/>
    <w:bookmarkEnd w:id="43"/>
    <w:bookmarkStart w:id="46" w:name="review-report"/>
    <w:p>
      <w:pPr>
        <w:pStyle w:val="Heading2"/>
      </w:pPr>
      <w:r>
        <w:t xml:space="preserve">5. Review &amp; Report</w:t>
      </w:r>
    </w:p>
    <w:bookmarkStart w:id="44" w:name="hotspots-identification"/>
    <w:p>
      <w:pPr>
        <w:pStyle w:val="Heading3"/>
      </w:pPr>
      <w:r>
        <w:t xml:space="preserve">Hotspots Identification:</w:t>
      </w:r>
    </w:p>
    <w:p>
      <w:pPr>
        <w:pStyle w:val="FirstParagraph"/>
      </w:pPr>
      <w:r>
        <w:t xml:space="preserve">The analysis clearly identifies the following hotspots in the Power Bank 100W\'s carbon footprint:</w:t>
      </w:r>
    </w:p>
    <w:p>
      <w:pPr>
        <w:numPr>
          <w:ilvl w:val="0"/>
          <w:numId w:val="1017"/>
        </w:numPr>
        <w:pStyle w:val="Compact"/>
      </w:pPr>
      <w:r>
        <w:rPr>
          <w:bCs/>
          <w:b/>
        </w:rPr>
        <w:t xml:space="preserve">Lithium-ion Battery Production (77.4% of total PCF):</w:t>
      </w:r>
      <w:r>
        <w:t xml:space="preserve"> </w:t>
      </w:r>
      <w:r>
        <w:t xml:space="preserve">The manufacturing of the Li-ion battery pack is by far the largest contributor to the product\'s carbon footprint due to the energy-intensive extraction and processing of raw materials (lithium, cobalt, nickel, etc.) and the complex manufacturing processes involved.</w:t>
      </w:r>
    </w:p>
    <w:p>
      <w:pPr>
        <w:numPr>
          <w:ilvl w:val="0"/>
          <w:numId w:val="1017"/>
        </w:numPr>
        <w:pStyle w:val="Compact"/>
      </w:pPr>
      <w:r>
        <w:rPr>
          <w:bCs/>
          <w:b/>
        </w:rPr>
        <w:t xml:space="preserve">Electronic Components (4.1% of total PCF):</w:t>
      </w:r>
      <w:r>
        <w:t xml:space="preserve"> </w:t>
      </w:r>
      <w:r>
        <w:t xml:space="preserve">The production of integrated circuits, silicon chips, and other electronic parts is also highly energy-intensive and contributes significantly.</w:t>
      </w:r>
    </w:p>
    <w:p>
      <w:pPr>
        <w:numPr>
          <w:ilvl w:val="0"/>
          <w:numId w:val="1017"/>
        </w:numPr>
        <w:pStyle w:val="Compact"/>
      </w:pPr>
      <w:r>
        <w:rPr>
          <w:bCs/>
          <w:b/>
        </w:rPr>
        <w:t xml:space="preserve">Aluminum Casing (7.2% of total PCF):</w:t>
      </w:r>
      <w:r>
        <w:t xml:space="preserve"> </w:t>
      </w:r>
      <w:r>
        <w:t xml:space="preserve">Primary aluminum production, despite using a European average (which is lower than the global average), remains a notable hotspot due to its inherent energy demand.</w:t>
      </w:r>
    </w:p>
    <w:p>
      <w:pPr>
        <w:numPr>
          <w:ilvl w:val="0"/>
          <w:numId w:val="1017"/>
        </w:numPr>
        <w:pStyle w:val="Compact"/>
      </w:pPr>
      <w:r>
        <w:rPr>
          <w:bCs/>
          <w:b/>
        </w:rPr>
        <w:t xml:space="preserve">Manufacturing Electricity (2.6% of total PCF):</w:t>
      </w:r>
      <w:r>
        <w:t xml:space="preserve"> </w:t>
      </w:r>
      <w:r>
        <w:t xml:space="preserve">While the Netherlands\' grid mix is improving, the energy consumed during assembly and testing contributes to the footprint.</w:t>
      </w:r>
    </w:p>
    <w:p>
      <w:pPr>
        <w:numPr>
          <w:ilvl w:val="0"/>
          <w:numId w:val="1017"/>
        </w:numPr>
        <w:pStyle w:val="Compact"/>
      </w:pPr>
      <w:r>
        <w:rPr>
          <w:bCs/>
          <w:b/>
        </w:rPr>
        <w:t xml:space="preserve">Upstream Transportation (2.2% of total PCF):</w:t>
      </w:r>
      <w:r>
        <w:t xml:space="preserve"> </w:t>
      </w:r>
      <w:r>
        <w:t xml:space="preserve">Especially the long-distance sea freight for battery cells, and road transport for other components, adds to the footprint.</w:t>
      </w:r>
    </w:p>
    <w:bookmarkEnd w:id="44"/>
    <w:bookmarkStart w:id="45" w:name="reliability-of-the-assessment"/>
    <w:p>
      <w:pPr>
        <w:pStyle w:val="Heading3"/>
      </w:pPr>
      <w:r>
        <w:t xml:space="preserve">Reliability of the Assessment:</w:t>
      </w:r>
    </w:p>
    <w:p>
      <w:pPr>
        <w:pStyle w:val="FirstParagraph"/>
      </w:pPr>
      <w:r>
        <w:t xml:space="preserve">The reliability of this PCF assessment is considered high given the reliance on industry-standard emission factors (aligned with Ecoinvent/DEFRA principles) and a detailed breakdown of materials and energy inputs. However, inherent limitations of secondary data exist:</w:t>
      </w:r>
    </w:p>
    <w:p>
      <w:pPr>
        <w:numPr>
          <w:ilvl w:val="0"/>
          <w:numId w:val="1018"/>
        </w:numPr>
        <w:pStyle w:val="Compact"/>
      </w:pPr>
      <w:r>
        <w:rPr>
          <w:bCs/>
          <w:b/>
        </w:rPr>
        <w:t xml:space="preserve">Generic Emission Factors:</w:t>
      </w:r>
      <w:r>
        <w:t xml:space="preserve"> </w:t>
      </w:r>
      <w:r>
        <w:t xml:space="preserve">The use of average emission factors for materials and processes (e.g., "generic Li-ion battery production," "electronic components") may not perfectly reflect the specific suppliers and their precise manufacturing efficiencies or energy mixes. Primary data from each supplier would enhance accuracy.</w:t>
      </w:r>
    </w:p>
    <w:p>
      <w:pPr>
        <w:numPr>
          <w:ilvl w:val="0"/>
          <w:numId w:val="1018"/>
        </w:numPr>
        <w:pStyle w:val="Compact"/>
      </w:pPr>
      <w:r>
        <w:rPr>
          <w:bCs/>
          <w:b/>
        </w:rPr>
        <w:t xml:space="preserve">Assumptions for Weights and Distances:</w:t>
      </w:r>
      <w:r>
        <w:t xml:space="preserve"> </w:t>
      </w:r>
      <w:r>
        <w:t xml:space="preserve">Estimated material weights and transportation distances are based on typical product characteristics and European supply chain assumptions. Deviations in actual BoM or logistics could alter the results.</w:t>
      </w:r>
    </w:p>
    <w:p>
      <w:pPr>
        <w:numPr>
          <w:ilvl w:val="0"/>
          <w:numId w:val="1018"/>
        </w:numPr>
        <w:pStyle w:val="Compact"/>
      </w:pPr>
      <w:r>
        <w:rPr>
          <w:bCs/>
          <w:b/>
        </w:rPr>
        <w:t xml:space="preserve">LSR Standard Granularity:</w:t>
      </w:r>
      <w:r>
        <w:t xml:space="preserve"> </w:t>
      </w:r>
      <w:r>
        <w:t xml:space="preserve">While the LSR Standard\'s principles are acknowledged for upstream impacts, a full, detailed application would require supplier-specific land-use data which is outside the scope of this generic product analysis.</w:t>
      </w:r>
    </w:p>
    <w:p>
      <w:pPr>
        <w:pStyle w:val="FirstParagraph"/>
      </w:pPr>
      <w:r>
        <w:t xml:space="preserve">Overall, this report provides a robust and comprehensive estimate of the 100W Power Bank\'s carbon footprint at the factory gate, highlighting critical areas for environmental improvement.</w:t>
      </w:r>
    </w:p>
    <w:p>
      <w:pPr>
        <w:pStyle w:val="BodyText"/>
      </w:pPr>
      <w:r>
        <w:t xml:space="preserve">Confidential - Internal Use Only | Page 1 of X</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Power Bank 100W</dc:title>
  <dc:creator/>
  <dc:description>High-detail Product Carbon Footprint (PCF) analysis for a 100W Power Bank, adhering to GHG Protocol standards, including Scope 1, 2, and 3 emissions, and the 2026 Land Sector and Removals (LSR) update.</dc:description>
  <dc:language>en</dc:language>
  <cp:keywords/>
  <dcterms:created xsi:type="dcterms:W3CDTF">2026-07-15T01:27:43Z</dcterms:created>
  <dcterms:modified xsi:type="dcterms:W3CDTF">2026-07-15T01:27:43Z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