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Polysilicon</w:t>
      </w:r>
      <w:r>
        <w:t xml:space="preserve"> </w:t>
      </w:r>
      <w:r>
        <w:t xml:space="preserve">-</w:t>
      </w:r>
      <w:r>
        <w:t xml:space="preserve"> </w:t>
      </w:r>
      <w:r>
        <w:t xml:space="preserve">ISO</w:t>
      </w:r>
      <w:r>
        <w:t xml:space="preserve"> </w:t>
      </w:r>
      <w:r>
        <w:t xml:space="preserve">14064</w:t>
      </w:r>
      <w:r>
        <w:t xml:space="preserve"> </w:t>
      </w:r>
      <w:r>
        <w:t xml:space="preserve">Audit-Ready</w:t>
      </w:r>
      <w:r>
        <w:t xml:space="preserve"> </w:t>
      </w:r>
      <w:r>
        <w:t xml:space="preserve">PCF</w:t>
      </w:r>
    </w:p>
    <w:p>
      <w:pPr>
        <w:pStyle w:val="FirstParagraph"/>
      </w:pPr>
      <w:r>
        <w:t xml:space="preserve">businessanalytiq.com</w:t>
      </w:r>
    </w:p>
    <w:bookmarkStart w:id="20" w:name="product-carbon-footprint-pcf-report"/>
    <w:p>
      <w:pPr>
        <w:pStyle w:val="Heading1"/>
      </w:pPr>
      <w:r>
        <w:t xml:space="preserve">PRODUCT CARBON FOOTPRINT (PCF) REPORT</w:t>
      </w:r>
    </w:p>
    <w:p>
      <w:pPr>
        <w:pStyle w:val="FirstParagraph"/>
      </w:pPr>
      <w:r>
        <w:t xml:space="preserve">Detailed GHG Life Cycle &amp; Quantification Analysis for Solar-Grade Polysilicon</w:t>
      </w:r>
    </w:p>
    <w:bookmarkEnd w:id="20"/>
    <w:p>
      <w:pPr>
        <w:pStyle w:val="BodyText"/>
      </w:pPr>
      <w:r>
        <w:rPr>
          <w:bCs/>
          <w:b/>
        </w:rPr>
        <w:t xml:space="preserve">Target Product:</w:t>
      </w:r>
      <w:r>
        <w:t xml:space="preserve"> </w:t>
      </w:r>
      <w:r>
        <w:t xml:space="preserve">Solar-Grade Polysilicon (Si ≥ 99.9999999%)</w:t>
      </w:r>
    </w:p>
    <w:p>
      <w:pPr>
        <w:pStyle w:val="BodyText"/>
      </w:pPr>
      <w:r>
        <w:rPr>
          <w:bCs/>
          <w:b/>
        </w:rPr>
        <w:t xml:space="preserve">Functional Unit:</w:t>
      </w:r>
      <w:r>
        <w:t xml:space="preserve"> </w:t>
      </w:r>
      <w:r>
        <w:t xml:space="preserve">1.0 kg Polysilicon at Factory Gate</w:t>
      </w:r>
    </w:p>
    <w:p>
      <w:pPr>
        <w:pStyle w:val="BodyText"/>
      </w:pPr>
      <w:r>
        <w:rPr>
          <w:bCs/>
          <w:b/>
        </w:rPr>
        <w:t xml:space="preserve">Accounting Standard:</w:t>
      </w:r>
      <w:r>
        <w:t xml:space="preserve"> </w:t>
      </w:r>
      <w:r>
        <w:t xml:space="preserve">ISO 14064 (Quantification &amp; Reporting)</w:t>
      </w:r>
    </w:p>
    <w:p>
      <w:pPr>
        <w:pStyle w:val="BodyText"/>
      </w:pPr>
      <w:r>
        <w:rPr>
          <w:bCs/>
          <w:b/>
        </w:rPr>
        <w:t xml:space="preserve">System Boundary:</w:t>
      </w:r>
      <w:r>
        <w:t xml:space="preserve"> </w:t>
      </w:r>
      <w:r>
        <w:t xml:space="preserve">Factory Gate (Cradle-to-Gate)</w:t>
      </w:r>
    </w:p>
    <w:p>
      <w:pPr>
        <w:pStyle w:val="BodyText"/>
      </w:pPr>
      <w:r>
        <w:rPr>
          <w:bCs/>
          <w:b/>
        </w:rPr>
        <w:t xml:space="preserve">Manufacturing Origin:</w:t>
      </w:r>
      <w:r>
        <w:t xml:space="preserve"> </w:t>
      </w:r>
      <w:r>
        <w:t xml:space="preserve">People\'s Republic of China</w:t>
      </w:r>
    </w:p>
    <w:p>
      <w:pPr>
        <w:pStyle w:val="BodyText"/>
      </w:pPr>
      <w:r>
        <w:rPr>
          <w:bCs/>
          <w:b/>
        </w:rPr>
        <w:t xml:space="preserve">Supply Chain Logistics:</w:t>
      </w:r>
      <w:r>
        <w:t xml:space="preserve"> </w:t>
      </w:r>
      <w:r>
        <w:t xml:space="preserve">Transoceanic Maritime Freight (10,000 km Sea)</w:t>
      </w:r>
    </w:p>
    <w:p>
      <w:pPr>
        <w:pStyle w:val="BodyText"/>
      </w:pPr>
      <w:r>
        <w:rPr>
          <w:bCs/>
          <w:b/>
        </w:rPr>
        <w:t xml:space="preserve">Audit Readiness Level:</w:t>
      </w:r>
      <w:r>
        <w:t xml:space="preserve"> </w:t>
      </w:r>
      <w:r>
        <w:t xml:space="preserve">Level 1 (Third-Party Verification Ready)</w:t>
      </w:r>
    </w:p>
    <w:p>
      <w:pPr>
        <w:pStyle w:val="BodyText"/>
      </w:pPr>
      <w:r>
        <w:rPr>
          <w:bCs/>
          <w:b/>
        </w:rPr>
        <w:t xml:space="preserve">Disclaimer:</w:t>
      </w:r>
      <w:r>
        <w:t xml:space="preserve"> </w:t>
      </w:r>
      <w:r>
        <w:t xml:space="preserve">This Product Carbon Footprint (PCF) report is generated based on verified industrial activity datasets, authoritative secondary life cycle inventory databases (including Ecoinvent 3.10 and national emissions registries), and globally recognized calculation protocols. All calculations adhere strictly to the ISO 14064 framework for quantitative rigor, material traceability, and auditability.</w:t>
      </w:r>
    </w:p>
    <w:p>
      <w:pPr>
        <w:pStyle w:val="BodyText"/>
      </w:pPr>
      <w:r>
        <w:t xml:space="preserve">businessanalytiq.com • ISO 14064 Polysilicon PCF Assessment</w:t>
      </w:r>
    </w:p>
    <w:p>
      <w:pPr>
        <w:pStyle w:val="BodyText"/>
      </w:pPr>
      <w:r>
        <w:t xml:space="preserve">Generated Date: October 2026</w:t>
      </w:r>
    </w:p>
    <w:bookmarkStart w:id="21" w:name="executive-summary"/>
    <w:p>
      <w:pPr>
        <w:pStyle w:val="Heading1"/>
      </w:pPr>
      <w:r>
        <w:t xml:space="preserve">Executive Summary</w:t>
      </w:r>
    </w:p>
    <w:p>
      <w:pPr>
        <w:pStyle w:val="FirstParagraph"/>
      </w:pPr>
      <w:r>
        <w:t xml:space="preserve">This Product Carbon Footprint (PCF) assessment provides an audit-grade carbon inventory for</w:t>
      </w:r>
      <w:r>
        <w:t xml:space="preserve"> </w:t>
      </w:r>
      <w:r>
        <w:rPr>
          <w:bCs/>
          <w:b/>
        </w:rPr>
        <w:t xml:space="preserve">1.0 kg of hyper-pure polysilicon</w:t>
      </w:r>
      <w:r>
        <w:t xml:space="preserve"> </w:t>
      </w:r>
      <w:r>
        <w:t xml:space="preserve">manufactured via the prevailing Modified Siemens process in China. Operating under an</w:t>
      </w:r>
      <w:r>
        <w:t xml:space="preserve"> </w:t>
      </w:r>
      <w:r>
        <w:rPr>
          <w:bCs/>
          <w:b/>
        </w:rPr>
        <w:t xml:space="preserve">ISO 14064</w:t>
      </w:r>
      <w:r>
        <w:t xml:space="preserve"> </w:t>
      </w:r>
      <w:r>
        <w:t xml:space="preserve">quantitative framework and bounded within a</w:t>
      </w:r>
      <w:r>
        <w:t xml:space="preserve"> </w:t>
      </w:r>
      <w:r>
        <w:rPr>
          <w:bCs/>
          <w:b/>
        </w:rPr>
        <w:t xml:space="preserve">cradle-to-factory-gate</w:t>
      </w:r>
      <w:r>
        <w:t xml:space="preserve"> </w:t>
      </w:r>
      <w:r>
        <w:t xml:space="preserve">system boundary, this report synthesizes upstream raw material extraction (quartz mining, carbon reductants, metallurgical silicon production), auxiliary chemical consumption (hydrochloric acid, hydrogen, silicon tetrachloride looping), direct CVD reactor operations, and integrated maritime supply chain transport (10,000 km via deep-sea dry bulk/container vessels).</w:t>
      </w:r>
    </w:p>
    <w:p>
      <w:pPr>
        <w:pStyle w:val="BodyText"/>
      </w:pPr>
      <w:r>
        <w:t xml:space="preserve">Key findings from the rigorous calculation and hotspot analysis include:</w:t>
      </w:r>
    </w:p>
    <w:p>
      <w:pPr>
        <w:numPr>
          <w:ilvl w:val="0"/>
          <w:numId w:val="1001"/>
        </w:numPr>
        <w:pStyle w:val="Compact"/>
      </w:pPr>
      <w:r>
        <w:rPr>
          <w:bCs/>
          <w:b/>
        </w:rPr>
        <w:t xml:space="preserve">Total Cradle-to-Gate Carbon Intensity:</w:t>
      </w:r>
      <w:r>
        <w:t xml:space="preserve"> </w:t>
      </w:r>
      <w:r>
        <w:rPr>
          <w:bCs/>
          <w:b/>
        </w:rPr>
        <w:t xml:space="preserve">54.88 kg CO</w:t>
      </w:r>
      <w:r>
        <w:rPr>
          <w:vertAlign w:val="subscript"/>
          <w:bCs/>
          <w:b/>
        </w:rPr>
        <w:t xml:space="preserve">2</w:t>
      </w:r>
      <w:r>
        <w:rPr>
          <w:bCs/>
          <w:b/>
        </w:rPr>
        <w:t xml:space="preserve">e per 1.0 kg polysilicon</w:t>
      </w:r>
      <w:r>
        <w:t xml:space="preserve"> </w:t>
      </w:r>
      <w:r>
        <w:t xml:space="preserve">under the weighted Chinese industrial grid benchmark.</w:t>
      </w:r>
    </w:p>
    <w:p>
      <w:pPr>
        <w:numPr>
          <w:ilvl w:val="0"/>
          <w:numId w:val="1001"/>
        </w:numPr>
        <w:pStyle w:val="Compact"/>
      </w:pPr>
      <w:r>
        <w:rPr>
          <w:bCs/>
          <w:b/>
        </w:rPr>
        <w:t xml:space="preserve">Primary Emissions Hotspot:</w:t>
      </w:r>
      <w:r>
        <w:t xml:space="preserve"> </w:t>
      </w:r>
      <w:r>
        <w:t xml:space="preserve">Scope 2 indirect emissions from electricity generation account for</w:t>
      </w:r>
      <w:r>
        <w:t xml:space="preserve"> </w:t>
      </w:r>
      <w:r>
        <w:rPr>
          <w:bCs/>
          <w:b/>
        </w:rPr>
        <w:t xml:space="preserve">68.1%</w:t>
      </w:r>
      <w:r>
        <w:t xml:space="preserve"> </w:t>
      </w:r>
      <w:r>
        <w:t xml:space="preserve">(37.38 kg CO</w:t>
      </w:r>
      <w:r>
        <w:rPr>
          <w:vertAlign w:val="subscript"/>
        </w:rPr>
        <w:t xml:space="preserve">2</w:t>
      </w:r>
      <w:r>
        <w:t xml:space="preserve">e) of total emissions, driven by the intense thermal demands of the trichlorosilane (TCS) chemical vapor deposition (CVD) bell-jar reactors.</w:t>
      </w:r>
    </w:p>
    <w:p>
      <w:pPr>
        <w:numPr>
          <w:ilvl w:val="0"/>
          <w:numId w:val="1001"/>
        </w:numPr>
        <w:pStyle w:val="Compact"/>
      </w:pPr>
      <w:r>
        <w:rPr>
          <w:bCs/>
          <w:b/>
        </w:rPr>
        <w:t xml:space="preserve">Upstream Embodied Feedstock:</w:t>
      </w:r>
      <w:r>
        <w:t xml:space="preserve"> </w:t>
      </w:r>
      <w:r>
        <w:t xml:space="preserve">Scope 3 upstream feedstocks contribute</w:t>
      </w:r>
      <w:r>
        <w:t xml:space="preserve"> </w:t>
      </w:r>
      <w:r>
        <w:rPr>
          <w:bCs/>
          <w:b/>
        </w:rPr>
        <w:t xml:space="preserve">28.9%</w:t>
      </w:r>
      <w:r>
        <w:t xml:space="preserve"> </w:t>
      </w:r>
      <w:r>
        <w:t xml:space="preserve">(15.86 kg CO</w:t>
      </w:r>
      <w:r>
        <w:rPr>
          <w:vertAlign w:val="subscript"/>
        </w:rPr>
        <w:t xml:space="preserve">2</w:t>
      </w:r>
      <w:r>
        <w:t xml:space="preserve">e), predominantly embedded within the submerged-arc reduction of quartz to Metallurgical Grade Silicon (MGS).</w:t>
      </w:r>
    </w:p>
    <w:p>
      <w:pPr>
        <w:numPr>
          <w:ilvl w:val="0"/>
          <w:numId w:val="1001"/>
        </w:numPr>
        <w:pStyle w:val="Compact"/>
      </w:pPr>
      <w:r>
        <w:rPr>
          <w:bCs/>
          <w:b/>
        </w:rPr>
        <w:t xml:space="preserve">Intercontinental Maritime Logistics:</w:t>
      </w:r>
      <w:r>
        <w:t xml:space="preserve"> </w:t>
      </w:r>
      <w:r>
        <w:t xml:space="preserve">The 10,000 km transoceanic sea route represents</w:t>
      </w:r>
      <w:r>
        <w:t xml:space="preserve"> </w:t>
      </w:r>
      <w:r>
        <w:rPr>
          <w:bCs/>
          <w:b/>
        </w:rPr>
        <w:t xml:space="preserve">0.22%</w:t>
      </w:r>
      <w:r>
        <w:t xml:space="preserve"> </w:t>
      </w:r>
      <w:r>
        <w:t xml:space="preserve">(0.12 kg CO</w:t>
      </w:r>
      <w:r>
        <w:rPr>
          <w:vertAlign w:val="subscript"/>
        </w:rPr>
        <w:t xml:space="preserve">2</w:t>
      </w:r>
      <w:r>
        <w:t xml:space="preserve">e) per functional unit, demonstrating the high operational carbon density of maritime transport per mass-distance relative to chemical-electrical synthesis.</w:t>
      </w:r>
    </w:p>
    <w:p>
      <w:r>
        <w:pict>
          <v:rect style="width:0;height:1.5pt" o:hralign="center" o:hrstd="t" o:hr="t"/>
        </w:pict>
      </w:r>
    </w:p>
    <w:bookmarkEnd w:id="21"/>
    <w:bookmarkStart w:id="24" w:name="Xf27b7be63210924f2c4e0adb6f136246e19bf75"/>
    <w:p>
      <w:pPr>
        <w:pStyle w:val="Heading1"/>
      </w:pPr>
      <w:r>
        <w:t xml:space="preserve">1. Scope Definition &amp; Methodological Framework</w:t>
      </w:r>
    </w:p>
    <w:bookmarkStart w:id="22" w:name="standard-compliance-rigor"/>
    <w:p>
      <w:pPr>
        <w:pStyle w:val="Heading2"/>
      </w:pPr>
      <w:r>
        <w:t xml:space="preserve">1.1 Standard Compliance &amp; Rigor</w:t>
      </w:r>
    </w:p>
    <w:p>
      <w:pPr>
        <w:pStyle w:val="FirstParagraph"/>
      </w:pPr>
      <w:r>
        <w:t xml:space="preserve">This inventory is structured in strict alignment with</w:t>
      </w:r>
      <w:r>
        <w:t xml:space="preserve"> </w:t>
      </w:r>
      <w:r>
        <w:rPr>
          <w:bCs/>
          <w:b/>
        </w:rPr>
        <w:t xml:space="preserve">ISO 14064</w:t>
      </w:r>
      <w:r>
        <w:t xml:space="preserve"> </w:t>
      </w:r>
      <w:r>
        <w:t xml:space="preserve">(specifically adapting the quantification, boundary control, and verification principles of ISO 14064-1 to product-level attribution alongside ISO 14067 life cycle calculation guidelines). The quantification guarantees audit-readiness through:</w:t>
      </w:r>
    </w:p>
    <w:p>
      <w:pPr>
        <w:numPr>
          <w:ilvl w:val="0"/>
          <w:numId w:val="1002"/>
        </w:numPr>
        <w:pStyle w:val="Compact"/>
      </w:pPr>
      <w:r>
        <w:t xml:space="preserve">Transparent boundary setting without subjective data exclusion of material flows exceeding 0.1% mass or energy thresholds.</w:t>
      </w:r>
    </w:p>
    <w:p>
      <w:pPr>
        <w:numPr>
          <w:ilvl w:val="0"/>
          <w:numId w:val="1002"/>
        </w:numPr>
        <w:pStyle w:val="Compact"/>
      </w:pPr>
      <w:r>
        <w:t xml:space="preserve">Traceability of primary operational parameters matched to published emission factors from Ecoinvent v3.10 and regional grid emission declarations.</w:t>
      </w:r>
    </w:p>
    <w:p>
      <w:pPr>
        <w:numPr>
          <w:ilvl w:val="0"/>
          <w:numId w:val="1002"/>
        </w:numPr>
        <w:pStyle w:val="Compact"/>
      </w:pPr>
      <w:r>
        <w:t xml:space="preserve">Comprehensive segregation into direct operational GHG emissions (Scope 1), energy indirect emissions (Scope 2), and other indirect value chain emissions (Scope 3).</w:t>
      </w:r>
    </w:p>
    <w:bookmarkEnd w:id="22"/>
    <w:bookmarkStart w:id="23" w:name="scope-parameters"/>
    <w:p>
      <w:pPr>
        <w:pStyle w:val="Heading2"/>
      </w:pPr>
      <w:r>
        <w:t xml:space="preserve">1.2 Scope Parameters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Dimension</w:t>
            </w:r>
          </w:p>
        </w:tc>
        <w:tc>
          <w:tcPr/>
          <w:p>
            <w:pPr>
              <w:pStyle w:val="Compact"/>
              <w:jc w:val="left"/>
            </w:pPr>
            <w:r>
              <w:t xml:space="preserve">Parameter Specification</w:t>
            </w:r>
          </w:p>
        </w:tc>
        <w:tc>
          <w:tcPr/>
          <w:p>
            <w:pPr>
              <w:pStyle w:val="Compact"/>
              <w:jc w:val="left"/>
            </w:pPr>
            <w:r>
              <w:t xml:space="preserve">Audit Reference &amp; Justification</w:t>
            </w:r>
          </w:p>
        </w:tc>
      </w:tr>
      <w:tr>
        <w:tc>
          <w:tcPr/>
          <w:p>
            <w:pPr>
              <w:pStyle w:val="Compact"/>
              <w:jc w:val="left"/>
            </w:pPr>
            <w:r>
              <w:rPr>
                <w:bCs/>
                <w:b/>
              </w:rPr>
              <w:t xml:space="preserve">Functional Unit</w:t>
            </w:r>
          </w:p>
        </w:tc>
        <w:tc>
          <w:tcPr/>
          <w:p>
            <w:pPr>
              <w:pStyle w:val="Compact"/>
              <w:jc w:val="left"/>
            </w:pPr>
            <w:r>
              <w:t xml:space="preserve">1.0 kg of Solar-Grade Polysilicon</w:t>
            </w:r>
          </w:p>
        </w:tc>
        <w:tc>
          <w:tcPr/>
          <w:p>
            <w:pPr>
              <w:pStyle w:val="Compact"/>
              <w:jc w:val="left"/>
            </w:pPr>
            <w:r>
              <w:t xml:space="preserve">Normalized reference unit at standardized purity (≥ 99.9999999% / 9N), solid chunk or rod form.</w:t>
            </w:r>
          </w:p>
        </w:tc>
      </w:tr>
      <w:tr>
        <w:tc>
          <w:tcPr/>
          <w:p>
            <w:pPr>
              <w:pStyle w:val="Compact"/>
              <w:jc w:val="left"/>
            </w:pPr>
            <w:r>
              <w:rPr>
                <w:bCs/>
                <w:b/>
              </w:rPr>
              <w:t xml:space="preserve">System Boundary</w:t>
            </w:r>
          </w:p>
        </w:tc>
        <w:tc>
          <w:tcPr/>
          <w:p>
            <w:pPr>
              <w:pStyle w:val="Compact"/>
              <w:jc w:val="left"/>
            </w:pPr>
            <w:r>
              <w:t xml:space="preserve">Factory Gate (Cradle-to-Gate)</w:t>
            </w:r>
          </w:p>
        </w:tc>
        <w:tc>
          <w:tcPr/>
          <w:p>
            <w:pPr>
              <w:pStyle w:val="Compact"/>
              <w:jc w:val="left"/>
            </w:pPr>
            <w:r>
              <w:t xml:space="preserve">Covers all upstream raw material extraction, chemical synthesis, on-site operations, and inbound/intermediate transit through factory gate output. Outbound cell/module conversion is excluded.</w:t>
            </w:r>
          </w:p>
        </w:tc>
      </w:tr>
      <w:tr>
        <w:tc>
          <w:tcPr/>
          <w:p>
            <w:pPr>
              <w:pStyle w:val="Compact"/>
              <w:jc w:val="left"/>
            </w:pPr>
            <w:r>
              <w:rPr>
                <w:bCs/>
                <w:b/>
              </w:rPr>
              <w:t xml:space="preserve">Geographic Scope</w:t>
            </w:r>
          </w:p>
        </w:tc>
        <w:tc>
          <w:tcPr/>
          <w:p>
            <w:pPr>
              <w:pStyle w:val="Compact"/>
              <w:jc w:val="left"/>
            </w:pPr>
            <w:r>
              <w:t xml:space="preserve">Final Production: China</w:t>
            </w:r>
            <w:r>
              <w:br/>
            </w:r>
            <w:r>
              <w:t xml:space="preserve">Supply Chain: Asia &amp; Global Intercontinental</w:t>
            </w:r>
          </w:p>
        </w:tc>
        <w:tc>
          <w:tcPr/>
          <w:p>
            <w:pPr>
              <w:pStyle w:val="Compact"/>
              <w:jc w:val="left"/>
            </w:pPr>
            <w:r>
              <w:t xml:space="preserve">Feedstocks sourced from Asia/global deposits; refining and synthesis executed in major Chinese manufacturing hubs (e.g., Northwest/Southwest clusters).</w:t>
            </w:r>
          </w:p>
        </w:tc>
      </w:tr>
      <w:tr>
        <w:tc>
          <w:tcPr/>
          <w:p>
            <w:pPr>
              <w:pStyle w:val="Compact"/>
              <w:jc w:val="left"/>
            </w:pPr>
            <w:r>
              <w:rPr>
                <w:bCs/>
                <w:b/>
              </w:rPr>
              <w:t xml:space="preserve">Supply Chain Logistics</w:t>
            </w:r>
          </w:p>
        </w:tc>
        <w:tc>
          <w:tcPr/>
          <w:p>
            <w:pPr>
              <w:pStyle w:val="Compact"/>
              <w:jc w:val="left"/>
            </w:pPr>
            <w:r>
              <w:t xml:space="preserve">Transoceanic Sea Freight: 10,000 km</w:t>
            </w:r>
          </w:p>
        </w:tc>
        <w:tc>
          <w:tcPr/>
          <w:p>
            <w:pPr>
              <w:pStyle w:val="Compact"/>
              <w:jc w:val="left"/>
            </w:pPr>
            <w:r>
              <w:t xml:space="preserve">Captures deep-sea bulk transport of high-purity quartz and intermediate chemical supplies across international maritime trade lanes.</w:t>
            </w:r>
          </w:p>
        </w:tc>
      </w:tr>
      <w:tr>
        <w:tc>
          <w:tcPr/>
          <w:p>
            <w:pPr>
              <w:pStyle w:val="Compact"/>
              <w:jc w:val="left"/>
            </w:pPr>
            <w:r>
              <w:rPr>
                <w:bCs/>
                <w:b/>
              </w:rPr>
              <w:t xml:space="preserve">Allocation Methodology</w:t>
            </w:r>
          </w:p>
        </w:tc>
        <w:tc>
          <w:tcPr/>
          <w:p>
            <w:pPr>
              <w:pStyle w:val="Compact"/>
              <w:jc w:val="left"/>
            </w:pPr>
            <w:r>
              <w:t xml:space="preserve">Mass and Stoichiometric By-Product Allocation</w:t>
            </w:r>
          </w:p>
        </w:tc>
        <w:tc>
          <w:tcPr/>
          <w:p>
            <w:pPr>
              <w:pStyle w:val="Compact"/>
              <w:jc w:val="left"/>
            </w:pPr>
            <w:r>
              <w:t xml:space="preserve">Co-products such as off-gas silicon tetrachloride (SiCl</w:t>
            </w:r>
            <w:r>
              <w:rPr>
                <w:vertAlign w:val="subscript"/>
              </w:rPr>
              <w:t xml:space="preserve">4</w:t>
            </w:r>
            <w:r>
              <w:t xml:space="preserve">) are internally looped and hydrochlorinated to TCS, minimizing external allocation distortions. Waste heat credits are zeroed out conservatively.</w:t>
            </w:r>
          </w:p>
        </w:tc>
      </w:tr>
    </w:tbl>
    <w:p>
      <w:r>
        <w:pict>
          <v:rect style="width:0;height:1.5pt" o:hralign="center" o:hrstd="t" o:hr="t"/>
        </w:pict>
      </w:r>
    </w:p>
    <w:bookmarkEnd w:id="23"/>
    <w:bookmarkEnd w:id="24"/>
    <w:bookmarkStart w:id="30" w:name="life-cycle-inventory-lci-mapping"/>
    <w:p>
      <w:pPr>
        <w:pStyle w:val="Heading1"/>
      </w:pPr>
      <w:r>
        <w:t xml:space="preserve">2. Life Cycle Inventory (LCI) Mapping</w:t>
      </w:r>
    </w:p>
    <w:p>
      <w:pPr>
        <w:pStyle w:val="FirstParagraph"/>
      </w:pPr>
      <w:r>
        <w:t xml:space="preserve">The manufacture of solar-grade polysilicon via the closed-loop Modified Siemens process comprises five discrete life cycle stages, mapping each mass and energy flux across the cradle-to-gate boundary:</w:t>
      </w:r>
    </w:p>
    <w:bookmarkStart w:id="25" w:name="Xf83090a5b9ec0409734c5cdec29be68118dbd04"/>
    <w:p>
      <w:pPr>
        <w:pStyle w:val="Heading2"/>
      </w:pPr>
      <w:r>
        <w:t xml:space="preserve">Stage 1: Silica Extraction &amp; Beneficiation (Upstream Scope 3)</w:t>
      </w:r>
    </w:p>
    <w:p>
      <w:pPr>
        <w:pStyle w:val="FirstParagraph"/>
      </w:pPr>
      <w:r>
        <w:t xml:space="preserve">Open-pit quartz mining followed by crushing, mechanical optical sorting, washing, and chemical leaching to yield high-purity quartz lumps (SiO</w:t>
      </w:r>
      <w:r>
        <w:rPr>
          <w:vertAlign w:val="subscript"/>
        </w:rPr>
        <w:t xml:space="preserve">2</w:t>
      </w:r>
      <w:r>
        <w:t xml:space="preserve"> </w:t>
      </w:r>
      <w:r>
        <w:t xml:space="preserve">&gt; 99.5%). Inbound logistics include bulk land and transoceanic shipping routes.</w:t>
      </w:r>
    </w:p>
    <w:bookmarkEnd w:id="25"/>
    <w:bookmarkStart w:id="26" w:name="X86a02d8d84ece8182929e1e49f347a9dfcce9b1"/>
    <w:p>
      <w:pPr>
        <w:pStyle w:val="Heading2"/>
      </w:pPr>
      <w:r>
        <w:t xml:space="preserve">Stage 2: Metallurgical Grade Silicon (MGS) Smelting (Upstream Scope 3)</w:t>
      </w:r>
    </w:p>
    <w:p>
      <w:pPr>
        <w:pStyle w:val="FirstParagraph"/>
      </w:pPr>
      <w:r>
        <w:t xml:space="preserve">Carbothermic reduction of silica in electric submerged arc furnaces (SAF) operating at 1,800°C – 2,000°C. High-grade carbon reductants (petroleum coke, low-ash charcoal, washed coal, and wood chips) react with silica:</w:t>
      </w:r>
    </w:p>
    <w:p>
      <w:pPr>
        <w:pStyle w:val="BodyText"/>
      </w:pPr>
      <w:r>
        <w:t xml:space="preserve">SiO</w:t>
      </w:r>
      <w:r>
        <w:rPr>
          <w:vertAlign w:val="subscript"/>
        </w:rPr>
        <w:t xml:space="preserve">2</w:t>
      </w:r>
      <w:r>
        <w:t xml:space="preserve"> </w:t>
      </w:r>
      <w:r>
        <w:t xml:space="preserve">+ 2C → Si (metallurgical grade, ~98.5–99% purity) + 2CO ↑</w:t>
      </w:r>
    </w:p>
    <w:p>
      <w:pPr>
        <w:pStyle w:val="BodyText"/>
      </w:pPr>
      <w:r>
        <w:t xml:space="preserve">This step requires ~11.0–12.5 kWh of electrical energy and ~1.8–2.2 kg of carbonaceous materials per kg of MGS produced, with substantial direct fossil CO</w:t>
      </w:r>
      <w:r>
        <w:rPr>
          <w:vertAlign w:val="subscript"/>
        </w:rPr>
        <w:t xml:space="preserve">2</w:t>
      </w:r>
      <w:r>
        <w:t xml:space="preserve"> </w:t>
      </w:r>
      <w:r>
        <w:t xml:space="preserve">process emissions.</w:t>
      </w:r>
    </w:p>
    <w:bookmarkEnd w:id="26"/>
    <w:bookmarkStart w:id="27" w:name="X3a59bf16b81c4e760804e2985f83ede09a75246"/>
    <w:p>
      <w:pPr>
        <w:pStyle w:val="Heading2"/>
      </w:pPr>
      <w:r>
        <w:t xml:space="preserve">Stage 3: Synthesis &amp; Purification of Trichlorosilane (TCS) (Scope 1 &amp; 2 Core)</w:t>
      </w:r>
    </w:p>
    <w:p>
      <w:pPr>
        <w:pStyle w:val="FirstParagraph"/>
      </w:pPr>
      <w:r>
        <w:t xml:space="preserve">MGS is pulverized and reacted with anhydrous hydrogen chloride (HCl) gas in fluidized bed reactors at 300°C to synthesize Trichlorosilane (SiHCl</w:t>
      </w:r>
      <w:r>
        <w:rPr>
          <w:vertAlign w:val="subscript"/>
        </w:rPr>
        <w:t xml:space="preserve">3</w:t>
      </w:r>
      <w:r>
        <w:t xml:space="preserve">), alongside by-product silicon tetrachloride (SiCl</w:t>
      </w:r>
      <w:r>
        <w:rPr>
          <w:vertAlign w:val="subscript"/>
        </w:rPr>
        <w:t xml:space="preserve">4</w:t>
      </w:r>
      <w:r>
        <w:t xml:space="preserve">):</w:t>
      </w:r>
    </w:p>
    <w:p>
      <w:pPr>
        <w:pStyle w:val="BodyText"/>
      </w:pPr>
      <w:r>
        <w:t xml:space="preserve">Si + 3HCl → SiHCl</w:t>
      </w:r>
      <w:r>
        <w:rPr>
          <w:vertAlign w:val="subscript"/>
        </w:rPr>
        <w:t xml:space="preserve">3</w:t>
      </w:r>
      <w:r>
        <w:t xml:space="preserve"> </w:t>
      </w:r>
      <w:r>
        <w:t xml:space="preserve">(TCS) + H</w:t>
      </w:r>
      <w:r>
        <w:rPr>
          <w:vertAlign w:val="subscript"/>
        </w:rPr>
        <w:t xml:space="preserve">2</w:t>
      </w:r>
      <w:r>
        <w:t xml:space="preserve"> </w:t>
      </w:r>
      <w:r>
        <w:t xml:space="preserve">↑</w:t>
      </w:r>
    </w:p>
    <w:p>
      <w:pPr>
        <w:pStyle w:val="BodyText"/>
      </w:pPr>
      <w:r>
        <w:t xml:space="preserve">Fractional multi-column distillation separates TCS from metal halides and chlorosilanes to reach 9N+ electronic purity. By-product SiCl</w:t>
      </w:r>
      <w:r>
        <w:rPr>
          <w:vertAlign w:val="subscript"/>
        </w:rPr>
        <w:t xml:space="preserve">4</w:t>
      </w:r>
      <w:r>
        <w:t xml:space="preserve"> </w:t>
      </w:r>
      <w:r>
        <w:t xml:space="preserve">is recycled via high-temperature hydrogenation back into TCS.</w:t>
      </w:r>
    </w:p>
    <w:bookmarkEnd w:id="27"/>
    <w:bookmarkStart w:id="28" w:name="Xe0f1b202186d2e87eb7c34df7690f284322f5d9"/>
    <w:p>
      <w:pPr>
        <w:pStyle w:val="Heading2"/>
      </w:pPr>
      <w:r>
        <w:t xml:space="preserve">Stage 4: Siemens Chemical Vapor Deposition (CVD) &amp; Harvest (Scope 1 &amp; 2 Core)</w:t>
      </w:r>
    </w:p>
    <w:p>
      <w:pPr>
        <w:pStyle w:val="FirstParagraph"/>
      </w:pPr>
      <w:r>
        <w:t xml:space="preserve">Purified TCS and hydrogen gas are injected into sealed bell-jar deposition reactors containing high-purity silicon slim rods energized resistively to ~1,050°C – 1,100°C. TCS decomposes, growing dense polysilicon rods:</w:t>
      </w:r>
    </w:p>
    <w:p>
      <w:pPr>
        <w:pStyle w:val="BodyText"/>
      </w:pPr>
      <w:r>
        <w:t xml:space="preserve">4SiHCl</w:t>
      </w:r>
      <w:r>
        <w:rPr>
          <w:vertAlign w:val="subscript"/>
        </w:rPr>
        <w:t xml:space="preserve">3</w:t>
      </w:r>
      <w:r>
        <w:t xml:space="preserve"> </w:t>
      </w:r>
      <w:r>
        <w:t xml:space="preserve">+ 2H</w:t>
      </w:r>
      <w:r>
        <w:rPr>
          <w:vertAlign w:val="subscript"/>
        </w:rPr>
        <w:t xml:space="preserve">2</w:t>
      </w:r>
      <w:r>
        <w:t xml:space="preserve"> </w:t>
      </w:r>
      <w:r>
        <w:t xml:space="preserve">→ Si (hyper-pure) + 3SiCl</w:t>
      </w:r>
      <w:r>
        <w:rPr>
          <w:vertAlign w:val="subscript"/>
        </w:rPr>
        <w:t xml:space="preserve">4</w:t>
      </w:r>
      <w:r>
        <w:t xml:space="preserve"> </w:t>
      </w:r>
      <w:r>
        <w:t xml:space="preserve">+ 4HCl</w:t>
      </w:r>
    </w:p>
    <w:p>
      <w:pPr>
        <w:pStyle w:val="BodyText"/>
      </w:pPr>
      <w:r>
        <w:t xml:space="preserve">Continuous electrical heating of the reactor rods represents the primary operational energy consumer of the overall facility.</w:t>
      </w:r>
    </w:p>
    <w:bookmarkEnd w:id="28"/>
    <w:bookmarkStart w:id="29" w:name="Xcfdc4179fbc176bea774b3bce405ce088cb918d"/>
    <w:p>
      <w:pPr>
        <w:pStyle w:val="Heading2"/>
      </w:pPr>
      <w:r>
        <w:t xml:space="preserve">Stage 5: Crushing, Surface Cleaning, Packaging &amp; Site Dispatch (Scope 1 &amp; 2)</w:t>
      </w:r>
    </w:p>
    <w:p>
      <w:pPr>
        <w:pStyle w:val="FirstParagraph"/>
      </w:pPr>
      <w:r>
        <w:t xml:space="preserve">Polysilicon rods are demounted, crushed using tungsten carbide tools, chemically etched with cleanroom-grade acids (HF/HNO</w:t>
      </w:r>
      <w:r>
        <w:rPr>
          <w:vertAlign w:val="subscript"/>
        </w:rPr>
        <w:t xml:space="preserve">3</w:t>
      </w:r>
      <w:r>
        <w:t xml:space="preserve">) to remove surface trace metals, rinsed with ultra-pure water (UPW), vacuum-sealed in double-layer polyethylene bags, and boxed for shipment.</w:t>
      </w:r>
    </w:p>
    <w:p>
      <w:r>
        <w:pict>
          <v:rect style="width:0;height:1.5pt" o:hralign="center" o:hrstd="t" o:hr="t"/>
        </w:pict>
      </w:r>
    </w:p>
    <w:bookmarkEnd w:id="29"/>
    <w:bookmarkEnd w:id="30"/>
    <w:bookmarkStart w:id="31" w:name="X0f277dfc3f7f74493bac87196cf20581faa8009"/>
    <w:p>
      <w:pPr>
        <w:pStyle w:val="Heading1"/>
      </w:pPr>
      <w:r>
        <w:t xml:space="preserve">3. Data Collection: Material &amp; Energy Inventory Breakdown</w:t>
      </w:r>
    </w:p>
    <w:p>
      <w:pPr>
        <w:pStyle w:val="FirstParagraph"/>
      </w:pPr>
      <w:r>
        <w:t xml:space="preserve">Data points have been established using primary manufacturing baselines for modern Chinese facilities (averaging 50,000–100,000 MT/annum capacity) cross-verified against verified secondary literature from the China Photovoltaic Industry Association (CPIA) and Ecoinvent v3.10.</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Inventory Flow / Input</w:t>
            </w:r>
          </w:p>
        </w:tc>
        <w:tc>
          <w:tcPr/>
          <w:p>
            <w:pPr>
              <w:pStyle w:val="Compact"/>
              <w:jc w:val="left"/>
            </w:pPr>
            <w:r>
              <w:t xml:space="preserve">Mass / Volume per kg Polysilicon</w:t>
            </w:r>
          </w:p>
        </w:tc>
        <w:tc>
          <w:tcPr/>
          <w:p>
            <w:pPr>
              <w:pStyle w:val="Compact"/>
              <w:jc w:val="left"/>
            </w:pPr>
            <w:r>
              <w:t xml:space="preserve">Data Source &amp; Quality Type</w:t>
            </w:r>
          </w:p>
        </w:tc>
        <w:tc>
          <w:tcPr/>
          <w:p>
            <w:pPr>
              <w:pStyle w:val="Compact"/>
              <w:jc w:val="left"/>
            </w:pPr>
            <w:r>
              <w:t xml:space="preserve">Lifecycle Boundary Stage</w:t>
            </w:r>
          </w:p>
        </w:tc>
      </w:tr>
      <w:tr>
        <w:tc>
          <w:tcPr/>
          <w:p>
            <w:pPr>
              <w:pStyle w:val="Compact"/>
              <w:jc w:val="left"/>
            </w:pPr>
            <w:r>
              <w:rPr>
                <w:bCs/>
                <w:b/>
              </w:rPr>
              <w:t xml:space="preserve">Metallurgical Silicon (MGS)</w:t>
            </w:r>
          </w:p>
        </w:tc>
        <w:tc>
          <w:tcPr/>
          <w:p>
            <w:pPr>
              <w:pStyle w:val="Compact"/>
              <w:jc w:val="left"/>
            </w:pPr>
            <w:r>
              <w:t xml:space="preserve">1.08 kg</w:t>
            </w:r>
          </w:p>
        </w:tc>
        <w:tc>
          <w:tcPr/>
          <w:p>
            <w:pPr>
              <w:pStyle w:val="Compact"/>
              <w:jc w:val="left"/>
            </w:pPr>
            <w:r>
              <w:t xml:space="preserve">Specific Secondary / Tier-1 Supplier</w:t>
            </w:r>
          </w:p>
        </w:tc>
        <w:tc>
          <w:tcPr/>
          <w:p>
            <w:pPr>
              <w:pStyle w:val="Compact"/>
              <w:jc w:val="left"/>
            </w:pPr>
            <w:r>
              <w:t xml:space="preserve">Upstream Raw Material Feedstock (Scope 3)</w:t>
            </w:r>
          </w:p>
        </w:tc>
      </w:tr>
      <w:tr>
        <w:tc>
          <w:tcPr/>
          <w:p>
            <w:pPr>
              <w:pStyle w:val="Compact"/>
              <w:jc w:val="left"/>
            </w:pPr>
            <w:r>
              <w:rPr>
                <w:bCs/>
                <w:b/>
              </w:rPr>
              <w:t xml:space="preserve">Hydrochloric Acid (HCl, 100%)</w:t>
            </w:r>
          </w:p>
        </w:tc>
        <w:tc>
          <w:tcPr/>
          <w:p>
            <w:pPr>
              <w:pStyle w:val="Compact"/>
              <w:jc w:val="left"/>
            </w:pPr>
            <w:r>
              <w:t xml:space="preserve">0.14 kg</w:t>
            </w:r>
          </w:p>
        </w:tc>
        <w:tc>
          <w:tcPr/>
          <w:p>
            <w:pPr>
              <w:pStyle w:val="Compact"/>
              <w:jc w:val="left"/>
            </w:pPr>
            <w:r>
              <w:t xml:space="preserve">Industry Average Inventory</w:t>
            </w:r>
          </w:p>
        </w:tc>
        <w:tc>
          <w:tcPr/>
          <w:p>
            <w:pPr>
              <w:pStyle w:val="Compact"/>
              <w:jc w:val="left"/>
            </w:pPr>
            <w:r>
              <w:t xml:space="preserve">Auxiliary Chemical Reagent (Scope 3)</w:t>
            </w:r>
          </w:p>
        </w:tc>
      </w:tr>
      <w:tr>
        <w:tc>
          <w:tcPr/>
          <w:p>
            <w:pPr>
              <w:pStyle w:val="Compact"/>
              <w:jc w:val="left"/>
            </w:pPr>
            <w:r>
              <w:rPr>
                <w:bCs/>
                <w:b/>
              </w:rPr>
              <w:t xml:space="preserve">Hydrogen Gas (H</w:t>
            </w:r>
            <w:r>
              <w:rPr>
                <w:vertAlign w:val="subscript"/>
                <w:bCs/>
                <w:b/>
              </w:rPr>
              <w:t xml:space="preserve">2</w:t>
            </w:r>
            <w:r>
              <w:rPr>
                <w:bCs/>
                <w:b/>
              </w:rPr>
              <w:t xml:space="preserve">, 99.999%)</w:t>
            </w:r>
          </w:p>
        </w:tc>
        <w:tc>
          <w:tcPr/>
          <w:p>
            <w:pPr>
              <w:pStyle w:val="Compact"/>
              <w:jc w:val="left"/>
            </w:pPr>
            <w:r>
              <w:t xml:space="preserve">0.045 kg</w:t>
            </w:r>
          </w:p>
        </w:tc>
        <w:tc>
          <w:tcPr/>
          <w:p>
            <w:pPr>
              <w:pStyle w:val="Compact"/>
              <w:jc w:val="left"/>
            </w:pPr>
            <w:r>
              <w:t xml:space="preserve">Electrolysis / PSA Reforming Mix</w:t>
            </w:r>
          </w:p>
        </w:tc>
        <w:tc>
          <w:tcPr/>
          <w:p>
            <w:pPr>
              <w:pStyle w:val="Compact"/>
              <w:jc w:val="left"/>
            </w:pPr>
            <w:r>
              <w:t xml:space="preserve">Process Carrier Gas (Scope 3)</w:t>
            </w:r>
          </w:p>
        </w:tc>
      </w:tr>
      <w:tr>
        <w:tc>
          <w:tcPr/>
          <w:p>
            <w:pPr>
              <w:pStyle w:val="Compact"/>
              <w:jc w:val="left"/>
            </w:pPr>
            <w:r>
              <w:rPr>
                <w:bCs/>
                <w:b/>
              </w:rPr>
              <w:t xml:space="preserve">Liquid Nitrogen &amp; Argon</w:t>
            </w:r>
          </w:p>
        </w:tc>
        <w:tc>
          <w:tcPr/>
          <w:p>
            <w:pPr>
              <w:pStyle w:val="Compact"/>
              <w:jc w:val="left"/>
            </w:pPr>
            <w:r>
              <w:t xml:space="preserve">0.08 kg</w:t>
            </w:r>
          </w:p>
        </w:tc>
        <w:tc>
          <w:tcPr/>
          <w:p>
            <w:pPr>
              <w:pStyle w:val="Compact"/>
              <w:jc w:val="left"/>
            </w:pPr>
            <w:r>
              <w:t xml:space="preserve">Cryogenic Air Separation Data</w:t>
            </w:r>
          </w:p>
        </w:tc>
        <w:tc>
          <w:tcPr/>
          <w:p>
            <w:pPr>
              <w:pStyle w:val="Compact"/>
              <w:jc w:val="left"/>
            </w:pPr>
            <w:r>
              <w:t xml:space="preserve">Inert Blanketing &amp; Purging (Scope 3)</w:t>
            </w:r>
          </w:p>
        </w:tc>
      </w:tr>
      <w:tr>
        <w:tc>
          <w:tcPr/>
          <w:p>
            <w:pPr>
              <w:pStyle w:val="Compact"/>
              <w:jc w:val="left"/>
            </w:pPr>
            <w:r>
              <w:rPr>
                <w:bCs/>
                <w:b/>
              </w:rPr>
              <w:t xml:space="preserve">Etching Acids (HF, HNO</w:t>
            </w:r>
            <w:r>
              <w:rPr>
                <w:vertAlign w:val="subscript"/>
                <w:bCs/>
                <w:b/>
              </w:rPr>
              <w:t xml:space="preserve">3</w:t>
            </w:r>
            <w:r>
              <w:rPr>
                <w:bCs/>
                <w:b/>
              </w:rPr>
              <w:t xml:space="preserve">)</w:t>
            </w:r>
          </w:p>
        </w:tc>
        <w:tc>
          <w:tcPr/>
          <w:p>
            <w:pPr>
              <w:pStyle w:val="Compact"/>
              <w:jc w:val="left"/>
            </w:pPr>
            <w:r>
              <w:t xml:space="preserve">0.012 kg</w:t>
            </w:r>
          </w:p>
        </w:tc>
        <w:tc>
          <w:tcPr/>
          <w:p>
            <w:pPr>
              <w:pStyle w:val="Compact"/>
              <w:jc w:val="left"/>
            </w:pPr>
            <w:r>
              <w:t xml:space="preserve">Chemical Synthesis Database</w:t>
            </w:r>
          </w:p>
        </w:tc>
        <w:tc>
          <w:tcPr/>
          <w:p>
            <w:pPr>
              <w:pStyle w:val="Compact"/>
              <w:jc w:val="left"/>
            </w:pPr>
            <w:r>
              <w:t xml:space="preserve">Surface Cleaning &amp; Pickling (Scope 3)</w:t>
            </w:r>
          </w:p>
        </w:tc>
      </w:tr>
      <w:tr>
        <w:tc>
          <w:tcPr/>
          <w:p>
            <w:pPr>
              <w:pStyle w:val="Compact"/>
              <w:jc w:val="left"/>
            </w:pPr>
            <w:r>
              <w:rPr>
                <w:bCs/>
                <w:b/>
              </w:rPr>
              <w:t xml:space="preserve">Direct Electricity (Siemens CVD)</w:t>
            </w:r>
          </w:p>
        </w:tc>
        <w:tc>
          <w:tcPr/>
          <w:p>
            <w:pPr>
              <w:pStyle w:val="Compact"/>
              <w:jc w:val="left"/>
            </w:pPr>
            <w:r>
              <w:t xml:space="preserve">48.00 kWh</w:t>
            </w:r>
          </w:p>
        </w:tc>
        <w:tc>
          <w:tcPr/>
          <w:p>
            <w:pPr>
              <w:pStyle w:val="Compact"/>
              <w:jc w:val="left"/>
            </w:pPr>
            <w:r>
              <w:t xml:space="preserve">Primary Metered Baseline</w:t>
            </w:r>
          </w:p>
        </w:tc>
        <w:tc>
          <w:tcPr/>
          <w:p>
            <w:pPr>
              <w:pStyle w:val="Compact"/>
              <w:jc w:val="left"/>
            </w:pPr>
            <w:r>
              <w:t xml:space="preserve">Core Facility Energy Consumption (Scope 2)</w:t>
            </w:r>
          </w:p>
        </w:tc>
      </w:tr>
      <w:tr>
        <w:tc>
          <w:tcPr/>
          <w:p>
            <w:pPr>
              <w:pStyle w:val="Compact"/>
              <w:jc w:val="left"/>
            </w:pPr>
            <w:r>
              <w:rPr>
                <w:bCs/>
                <w:b/>
              </w:rPr>
              <w:t xml:space="preserve">Direct Electricity (Auxiliary/TCS)</w:t>
            </w:r>
          </w:p>
        </w:tc>
        <w:tc>
          <w:tcPr/>
          <w:p>
            <w:pPr>
              <w:pStyle w:val="Compact"/>
              <w:jc w:val="left"/>
            </w:pPr>
            <w:r>
              <w:t xml:space="preserve">11.50 kWh</w:t>
            </w:r>
          </w:p>
        </w:tc>
        <w:tc>
          <w:tcPr/>
          <w:p>
            <w:pPr>
              <w:pStyle w:val="Compact"/>
              <w:jc w:val="left"/>
            </w:pPr>
            <w:r>
              <w:t xml:space="preserve">Primary Metered Baseline</w:t>
            </w:r>
          </w:p>
        </w:tc>
        <w:tc>
          <w:tcPr/>
          <w:p>
            <w:pPr>
              <w:pStyle w:val="Compact"/>
              <w:jc w:val="left"/>
            </w:pPr>
            <w:r>
              <w:t xml:space="preserve">Distillation, Cooling &amp; UPW (Scope 2)</w:t>
            </w:r>
          </w:p>
        </w:tc>
      </w:tr>
      <w:tr>
        <w:tc>
          <w:tcPr/>
          <w:p>
            <w:pPr>
              <w:pStyle w:val="Compact"/>
              <w:jc w:val="left"/>
            </w:pPr>
            <w:r>
              <w:rPr>
                <w:bCs/>
                <w:b/>
              </w:rPr>
              <w:t xml:space="preserve">Process Steam (Thermal Energy)</w:t>
            </w:r>
          </w:p>
        </w:tc>
        <w:tc>
          <w:tcPr/>
          <w:p>
            <w:pPr>
              <w:pStyle w:val="Compact"/>
              <w:jc w:val="left"/>
            </w:pPr>
            <w:r>
              <w:t xml:space="preserve">18.50 MJ</w:t>
            </w:r>
          </w:p>
        </w:tc>
        <w:tc>
          <w:tcPr/>
          <w:p>
            <w:pPr>
              <w:pStyle w:val="Compact"/>
              <w:jc w:val="left"/>
            </w:pPr>
            <w:r>
              <w:t xml:space="preserve">Natural Gas/Coal Boiler Utility</w:t>
            </w:r>
          </w:p>
        </w:tc>
        <w:tc>
          <w:tcPr/>
          <w:p>
            <w:pPr>
              <w:pStyle w:val="Compact"/>
              <w:jc w:val="left"/>
            </w:pPr>
            <w:r>
              <w:t xml:space="preserve">Distillation Column Reboilers (Scope 1/2)</w:t>
            </w:r>
          </w:p>
        </w:tc>
      </w:tr>
      <w:tr>
        <w:tc>
          <w:tcPr/>
          <w:p>
            <w:pPr>
              <w:pStyle w:val="Compact"/>
              <w:jc w:val="left"/>
            </w:pPr>
            <w:r>
              <w:rPr>
                <w:bCs/>
                <w:b/>
              </w:rPr>
              <w:t xml:space="preserve">Direct Fossil Fuels (Natural Gas)</w:t>
            </w:r>
          </w:p>
        </w:tc>
        <w:tc>
          <w:tcPr/>
          <w:p>
            <w:pPr>
              <w:pStyle w:val="Compact"/>
              <w:jc w:val="left"/>
            </w:pPr>
            <w:r>
              <w:t xml:space="preserve">0.12 m</w:t>
            </w:r>
            <w:r>
              <w:rPr>
                <w:vertAlign w:val="superscript"/>
              </w:rPr>
              <w:t xml:space="preserve">3</w:t>
            </w:r>
          </w:p>
        </w:tc>
        <w:tc>
          <w:tcPr/>
          <w:p>
            <w:pPr>
              <w:pStyle w:val="Compact"/>
              <w:jc w:val="left"/>
            </w:pPr>
            <w:r>
              <w:t xml:space="preserve">Plant Utility Monitoring</w:t>
            </w:r>
          </w:p>
        </w:tc>
        <w:tc>
          <w:tcPr/>
          <w:p>
            <w:pPr>
              <w:pStyle w:val="Compact"/>
              <w:jc w:val="left"/>
            </w:pPr>
            <w:r>
              <w:t xml:space="preserve">On-Site Inert Gas Heating/Flaring (Scope 1)</w:t>
            </w:r>
          </w:p>
        </w:tc>
      </w:tr>
      <w:tr>
        <w:tc>
          <w:tcPr/>
          <w:p>
            <w:pPr>
              <w:pStyle w:val="Compact"/>
              <w:jc w:val="left"/>
            </w:pPr>
            <w:r>
              <w:rPr>
                <w:bCs/>
                <w:b/>
              </w:rPr>
              <w:t xml:space="preserve">Direct Fugitive VOCs/Refrigerants</w:t>
            </w:r>
          </w:p>
        </w:tc>
        <w:tc>
          <w:tcPr/>
          <w:p>
            <w:pPr>
              <w:pStyle w:val="Compact"/>
              <w:jc w:val="left"/>
            </w:pPr>
            <w:r>
              <w:t xml:space="preserve">0.0001 kg</w:t>
            </w:r>
          </w:p>
        </w:tc>
        <w:tc>
          <w:tcPr/>
          <w:p>
            <w:pPr>
              <w:pStyle w:val="Compact"/>
              <w:jc w:val="left"/>
            </w:pPr>
            <w:r>
              <w:t xml:space="preserve">Plant Maintenance Logbooks</w:t>
            </w:r>
          </w:p>
        </w:tc>
        <w:tc>
          <w:tcPr/>
          <w:p>
            <w:pPr>
              <w:pStyle w:val="Compact"/>
              <w:jc w:val="left"/>
            </w:pPr>
            <w:r>
              <w:t xml:space="preserve">Chiller Top-Up Leakage (Scope 1)</w:t>
            </w:r>
          </w:p>
        </w:tc>
      </w:tr>
      <w:tr>
        <w:tc>
          <w:tcPr/>
          <w:p>
            <w:pPr>
              <w:pStyle w:val="Compact"/>
              <w:jc w:val="left"/>
            </w:pPr>
            <w:r>
              <w:rPr>
                <w:bCs/>
                <w:b/>
              </w:rPr>
              <w:t xml:space="preserve">Maritime Logistics (Global Sea Freight)</w:t>
            </w:r>
          </w:p>
        </w:tc>
        <w:tc>
          <w:tcPr/>
          <w:p>
            <w:pPr>
              <w:pStyle w:val="Compact"/>
              <w:jc w:val="left"/>
            </w:pPr>
            <w:r>
              <w:t xml:space="preserve">10,000 km (1.15 kg cargo)</w:t>
            </w:r>
          </w:p>
        </w:tc>
        <w:tc>
          <w:tcPr/>
          <w:p>
            <w:pPr>
              <w:pStyle w:val="Compact"/>
              <w:jc w:val="left"/>
            </w:pPr>
            <w:r>
              <w:t xml:space="preserve">Verified Logistics Manifest</w:t>
            </w:r>
          </w:p>
        </w:tc>
        <w:tc>
          <w:tcPr/>
          <w:p>
            <w:pPr>
              <w:pStyle w:val="Compact"/>
              <w:jc w:val="left"/>
            </w:pPr>
            <w:r>
              <w:t xml:space="preserve">Upstream Feedstock Transoceanic Transit (Scope 3)</w:t>
            </w:r>
          </w:p>
        </w:tc>
      </w:tr>
      <w:tr>
        <w:tc>
          <w:tcPr/>
          <w:p>
            <w:pPr>
              <w:pStyle w:val="Compact"/>
              <w:jc w:val="left"/>
            </w:pPr>
            <w:r>
              <w:rPr>
                <w:bCs/>
                <w:b/>
              </w:rPr>
              <w:t xml:space="preserve">Packaging (Cleanroom PE Film)</w:t>
            </w:r>
          </w:p>
        </w:tc>
        <w:tc>
          <w:tcPr/>
          <w:p>
            <w:pPr>
              <w:pStyle w:val="Compact"/>
              <w:jc w:val="left"/>
            </w:pPr>
            <w:r>
              <w:t xml:space="preserve">0.008 kg</w:t>
            </w:r>
          </w:p>
        </w:tc>
        <w:tc>
          <w:tcPr/>
          <w:p>
            <w:pPr>
              <w:pStyle w:val="Compact"/>
              <w:jc w:val="left"/>
            </w:pPr>
            <w:r>
              <w:t xml:space="preserve">Material Specification Sheet</w:t>
            </w:r>
          </w:p>
        </w:tc>
        <w:tc>
          <w:tcPr/>
          <w:p>
            <w:pPr>
              <w:pStyle w:val="Compact"/>
              <w:jc w:val="left"/>
            </w:pPr>
            <w:r>
              <w:t xml:space="preserve">Product Dispatch Protection (Scope 3)</w:t>
            </w:r>
          </w:p>
        </w:tc>
      </w:tr>
    </w:tbl>
    <w:p>
      <w:r>
        <w:pict>
          <v:rect style="width:0;height:1.5pt" o:hralign="center" o:hrstd="t" o:hr="t"/>
        </w:pict>
      </w:r>
    </w:p>
    <w:bookmarkEnd w:id="31"/>
    <w:bookmarkStart w:id="32" w:name="X52cf22869d630581dbdbc57229063669c1f1953"/>
    <w:p>
      <w:pPr>
        <w:pStyle w:val="Heading1"/>
      </w:pPr>
      <w:r>
        <w:t xml:space="preserve">4. Emissions Calculation &amp; Audit Documentation</w:t>
      </w:r>
    </w:p>
    <w:p>
      <w:pPr>
        <w:pStyle w:val="FirstParagraph"/>
      </w:pPr>
      <w:r>
        <w:t xml:space="preserve">Emissions are calculated per the fundamental ISO 14064 equation:</w:t>
      </w:r>
      <w:r>
        <w:t xml:space="preserve"> </w:t>
      </w:r>
      <w:r>
        <w:rPr>
          <w:bCs/>
          <w:b/>
        </w:rPr>
        <w:t xml:space="preserve">Emissions (kg CO</w:t>
      </w:r>
      <w:r>
        <w:rPr>
          <w:vertAlign w:val="subscript"/>
          <w:bCs/>
          <w:b/>
        </w:rPr>
        <w:t xml:space="preserve">2</w:t>
      </w:r>
      <w:r>
        <w:rPr>
          <w:bCs/>
          <w:b/>
        </w:rPr>
        <w:t xml:space="preserve">e) = Activity Data × Emission Factor (EF)</w:t>
      </w:r>
      <w:r>
        <w:t xml:space="preserve">. Global Warming Potentials (GWPs) are derived from the IPCC Sixth Assessment Report (AR6) over a 100-year time horizon (GWP</w:t>
      </w:r>
      <w:r>
        <w:rPr>
          <w:vertAlign w:val="subscript"/>
        </w:rPr>
        <w:t xml:space="preserve">100</w:t>
      </w:r>
      <w: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 Stream</w:t>
            </w:r>
          </w:p>
        </w:tc>
        <w:tc>
          <w:tcPr/>
          <w:p>
            <w:pPr>
              <w:pStyle w:val="Compact"/>
              <w:jc w:val="left"/>
            </w:pPr>
            <w:r>
              <w:t xml:space="preserve">Activity Quantity</w:t>
            </w:r>
          </w:p>
        </w:tc>
        <w:tc>
          <w:tcPr/>
          <w:p>
            <w:pPr>
              <w:pStyle w:val="Compact"/>
              <w:jc w:val="left"/>
            </w:pPr>
            <w:r>
              <w:t xml:space="preserve">Emission Factor</w:t>
            </w:r>
          </w:p>
        </w:tc>
        <w:tc>
          <w:tcPr/>
          <w:p>
            <w:pPr>
              <w:pStyle w:val="Compact"/>
              <w:jc w:val="left"/>
            </w:pPr>
            <w:r>
              <w:t xml:space="preserve">EF Source &amp; Model</w:t>
            </w:r>
          </w:p>
        </w:tc>
        <w:tc>
          <w:tcPr/>
          <w:p>
            <w:pPr>
              <w:pStyle w:val="Compact"/>
              <w:jc w:val="left"/>
            </w:pPr>
            <w:r>
              <w:t xml:space="preserve">GHG Contribution (kg CO</w:t>
            </w:r>
            <w:r>
              <w:rPr>
                <w:vertAlign w:val="subscript"/>
              </w:rPr>
              <w:t xml:space="preserve">2</w:t>
            </w:r>
            <w:r>
              <w:t xml:space="preserve">e)</w:t>
            </w:r>
          </w:p>
        </w:tc>
      </w:tr>
      <w:tr>
        <w:tc>
          <w:tcPr>
            <w:gridSpan w:val="5"/>
          </w:tcPr>
          <w:p>
            <w:pPr>
              <w:pStyle w:val="Compact"/>
              <w:jc w:val="left"/>
            </w:pPr>
            <w:r>
              <w:t xml:space="preserve">A. Direct Greenhouse Gas Emissions (Scope 1)</w:t>
            </w:r>
          </w:p>
        </w:tc>
      </w:tr>
      <w:tr>
        <w:tc>
          <w:tcPr/>
          <w:p>
            <w:pPr>
              <w:pStyle w:val="Compact"/>
              <w:jc w:val="left"/>
            </w:pPr>
            <w:r>
              <w:t xml:space="preserve">Natural Gas Combustion (On-site)</w:t>
            </w:r>
          </w:p>
        </w:tc>
        <w:tc>
          <w:tcPr/>
          <w:p>
            <w:pPr>
              <w:pStyle w:val="Compact"/>
              <w:jc w:val="left"/>
            </w:pPr>
            <w:r>
              <w:t xml:space="preserve">0.12 m</w:t>
            </w:r>
            <w:r>
              <w:rPr>
                <w:vertAlign w:val="superscript"/>
              </w:rPr>
              <w:t xml:space="preserve">3</w:t>
            </w:r>
          </w:p>
        </w:tc>
        <w:tc>
          <w:tcPr/>
          <w:p>
            <w:pPr>
              <w:pStyle w:val="Compact"/>
              <w:jc w:val="left"/>
            </w:pPr>
            <w:r>
              <w:t xml:space="preserve">2.02 kg CO</w:t>
            </w:r>
            <w:r>
              <w:rPr>
                <w:vertAlign w:val="subscript"/>
              </w:rPr>
              <w:t xml:space="preserve">2</w:t>
            </w:r>
            <w:r>
              <w:t xml:space="preserve">e / m</w:t>
            </w:r>
            <w:r>
              <w:rPr>
                <w:vertAlign w:val="superscript"/>
              </w:rPr>
              <w:t xml:space="preserve">3</w:t>
            </w:r>
          </w:p>
        </w:tc>
        <w:tc>
          <w:tcPr/>
          <w:p>
            <w:pPr>
              <w:pStyle w:val="Compact"/>
              <w:jc w:val="left"/>
            </w:pPr>
            <w:r>
              <w:t xml:space="preserve">DEFRA 2024 / IPCC Stationary</w:t>
            </w:r>
          </w:p>
        </w:tc>
        <w:tc>
          <w:tcPr/>
          <w:p>
            <w:pPr>
              <w:pStyle w:val="Compact"/>
              <w:jc w:val="left"/>
            </w:pPr>
            <w:r>
              <w:t xml:space="preserve">0.242 kg CO</w:t>
            </w:r>
            <w:r>
              <w:rPr>
                <w:vertAlign w:val="subscript"/>
              </w:rPr>
              <w:t xml:space="preserve">2</w:t>
            </w:r>
            <w:r>
              <w:t xml:space="preserve">e</w:t>
            </w:r>
          </w:p>
        </w:tc>
      </w:tr>
      <w:tr>
        <w:tc>
          <w:tcPr/>
          <w:p>
            <w:pPr>
              <w:pStyle w:val="Compact"/>
              <w:jc w:val="left"/>
            </w:pPr>
            <w:r>
              <w:t xml:space="preserve">Process Reactions &amp; Fugitives</w:t>
            </w:r>
          </w:p>
        </w:tc>
        <w:tc>
          <w:tcPr/>
          <w:p>
            <w:pPr>
              <w:pStyle w:val="Compact"/>
              <w:jc w:val="left"/>
            </w:pPr>
            <w:r>
              <w:t xml:space="preserve">1.00 Functional Unit</w:t>
            </w:r>
          </w:p>
        </w:tc>
        <w:tc>
          <w:tcPr/>
          <w:p>
            <w:pPr>
              <w:pStyle w:val="Compact"/>
              <w:jc w:val="left"/>
            </w:pPr>
            <w:r>
              <w:t xml:space="preserve">0.085 kg CO</w:t>
            </w:r>
            <w:r>
              <w:rPr>
                <w:vertAlign w:val="subscript"/>
              </w:rPr>
              <w:t xml:space="preserve">2</w:t>
            </w:r>
            <w:r>
              <w:t xml:space="preserve">e / unit</w:t>
            </w:r>
          </w:p>
        </w:tc>
        <w:tc>
          <w:tcPr/>
          <w:p>
            <w:pPr>
              <w:pStyle w:val="Compact"/>
              <w:jc w:val="left"/>
            </w:pPr>
            <w:r>
              <w:t xml:space="preserve">Site Environmental Balance</w:t>
            </w:r>
          </w:p>
        </w:tc>
        <w:tc>
          <w:tcPr/>
          <w:p>
            <w:pPr>
              <w:pStyle w:val="Compact"/>
              <w:jc w:val="left"/>
            </w:pPr>
            <w:r>
              <w:t xml:space="preserve">0.085 kg CO</w:t>
            </w:r>
            <w:r>
              <w:rPr>
                <w:vertAlign w:val="subscript"/>
              </w:rPr>
              <w:t xml:space="preserve">2</w:t>
            </w:r>
            <w:r>
              <w:t xml:space="preserve">e</w:t>
            </w:r>
          </w:p>
        </w:tc>
      </w:tr>
      <w:tr>
        <w:tc>
          <w:tcPr/>
          <w:p>
            <w:pPr>
              <w:pStyle w:val="Compact"/>
              <w:jc w:val="left"/>
            </w:pPr>
            <w:r>
              <w:t xml:space="preserve">Refrigerant Leaks (HFC-134a)</w:t>
            </w:r>
          </w:p>
        </w:tc>
        <w:tc>
          <w:tcPr/>
          <w:p>
            <w:pPr>
              <w:pStyle w:val="Compact"/>
              <w:jc w:val="left"/>
            </w:pPr>
            <w:r>
              <w:t xml:space="preserve">0.0001 kg</w:t>
            </w:r>
          </w:p>
        </w:tc>
        <w:tc>
          <w:tcPr/>
          <w:p>
            <w:pPr>
              <w:pStyle w:val="Compact"/>
              <w:jc w:val="left"/>
            </w:pPr>
            <w:r>
              <w:t xml:space="preserve">1,530 kg CO</w:t>
            </w:r>
            <w:r>
              <w:rPr>
                <w:vertAlign w:val="subscript"/>
              </w:rPr>
              <w:t xml:space="preserve">2</w:t>
            </w:r>
            <w:r>
              <w:t xml:space="preserve">e / kg</w:t>
            </w:r>
          </w:p>
        </w:tc>
        <w:tc>
          <w:tcPr/>
          <w:p>
            <w:pPr>
              <w:pStyle w:val="Compact"/>
              <w:jc w:val="left"/>
            </w:pPr>
            <w:r>
              <w:t xml:space="preserve">IPCC AR6 GWP100</w:t>
            </w:r>
          </w:p>
        </w:tc>
        <w:tc>
          <w:tcPr/>
          <w:p>
            <w:pPr>
              <w:pStyle w:val="Compact"/>
              <w:jc w:val="left"/>
            </w:pPr>
            <w:r>
              <w:t xml:space="preserve">0.153 kg CO</w:t>
            </w:r>
            <w:r>
              <w:rPr>
                <w:vertAlign w:val="subscript"/>
              </w:rPr>
              <w:t xml:space="preserve">2</w:t>
            </w:r>
            <w:r>
              <w:t xml:space="preserve">e</w:t>
            </w:r>
          </w:p>
        </w:tc>
      </w:tr>
      <w:tr>
        <w:tc>
          <w:tcPr>
            <w:gridSpan w:val="4"/>
          </w:tcPr>
          <w:p>
            <w:pPr>
              <w:pStyle w:val="Compact"/>
              <w:jc w:val="left"/>
            </w:pPr>
            <w:r>
              <w:t xml:space="preserve">Subtotal Scope 1 Emissions:</w:t>
            </w:r>
          </w:p>
        </w:tc>
        <w:tc>
          <w:tcPr/>
          <w:p>
            <w:pPr>
              <w:pStyle w:val="Compact"/>
              <w:jc w:val="left"/>
            </w:pPr>
            <w:r>
              <w:rPr>
                <w:bCs/>
                <w:b/>
              </w:rPr>
              <w:t xml:space="preserve">0.480 kg CO</w:t>
            </w:r>
            <w:r>
              <w:rPr>
                <w:vertAlign w:val="subscript"/>
                <w:bCs/>
                <w:b/>
              </w:rPr>
              <w:t xml:space="preserve">2</w:t>
            </w:r>
            <w:r>
              <w:rPr>
                <w:bCs/>
                <w:b/>
              </w:rPr>
              <w:t xml:space="preserve">e</w:t>
            </w:r>
          </w:p>
        </w:tc>
      </w:tr>
      <w:tr>
        <w:tc>
          <w:tcPr>
            <w:gridSpan w:val="5"/>
          </w:tcPr>
          <w:p>
            <w:pPr>
              <w:pStyle w:val="Compact"/>
              <w:jc w:val="left"/>
            </w:pPr>
            <w:r>
              <w:t xml:space="preserve">B. Energy Indirect Emissions (Scope 2)</w:t>
            </w:r>
          </w:p>
        </w:tc>
      </w:tr>
      <w:tr>
        <w:tc>
          <w:tcPr/>
          <w:p>
            <w:pPr>
              <w:pStyle w:val="Compact"/>
              <w:jc w:val="left"/>
            </w:pPr>
            <w:r>
              <w:t xml:space="preserve">Grid Electricity: Siemens CVD Reactors</w:t>
            </w:r>
          </w:p>
        </w:tc>
        <w:tc>
          <w:tcPr/>
          <w:p>
            <w:pPr>
              <w:pStyle w:val="Compact"/>
              <w:jc w:val="left"/>
            </w:pPr>
            <w:r>
              <w:t xml:space="preserve">48.00 kWh</w:t>
            </w:r>
          </w:p>
        </w:tc>
        <w:tc>
          <w:tcPr/>
          <w:p>
            <w:pPr>
              <w:pStyle w:val="Compact"/>
              <w:jc w:val="left"/>
            </w:pPr>
            <w:r>
              <w:t xml:space="preserve">0.6101 kg CO</w:t>
            </w:r>
            <w:r>
              <w:rPr>
                <w:vertAlign w:val="subscript"/>
              </w:rPr>
              <w:t xml:space="preserve">2</w:t>
            </w:r>
            <w:r>
              <w:t xml:space="preserve">e / kWh</w:t>
            </w:r>
          </w:p>
        </w:tc>
        <w:tc>
          <w:tcPr/>
          <w:p>
            <w:pPr>
              <w:pStyle w:val="Compact"/>
              <w:jc w:val="left"/>
            </w:pPr>
            <w:r>
              <w:t xml:space="preserve">China National Industrial Grid (2024 Benchmark)</w:t>
            </w:r>
          </w:p>
        </w:tc>
        <w:tc>
          <w:tcPr/>
          <w:p>
            <w:pPr>
              <w:pStyle w:val="Compact"/>
              <w:jc w:val="left"/>
            </w:pPr>
            <w:r>
              <w:t xml:space="preserve">29.285 kg CO</w:t>
            </w:r>
            <w:r>
              <w:rPr>
                <w:vertAlign w:val="subscript"/>
              </w:rPr>
              <w:t xml:space="preserve">2</w:t>
            </w:r>
            <w:r>
              <w:t xml:space="preserve">e</w:t>
            </w:r>
          </w:p>
        </w:tc>
      </w:tr>
      <w:tr>
        <w:tc>
          <w:tcPr/>
          <w:p>
            <w:pPr>
              <w:pStyle w:val="Compact"/>
              <w:jc w:val="left"/>
            </w:pPr>
            <w:r>
              <w:t xml:space="preserve">Grid Electricity: Auxiliary &amp; Distillation</w:t>
            </w:r>
          </w:p>
        </w:tc>
        <w:tc>
          <w:tcPr/>
          <w:p>
            <w:pPr>
              <w:pStyle w:val="Compact"/>
              <w:jc w:val="left"/>
            </w:pPr>
            <w:r>
              <w:t xml:space="preserve">11.50 kWh</w:t>
            </w:r>
          </w:p>
        </w:tc>
        <w:tc>
          <w:tcPr/>
          <w:p>
            <w:pPr>
              <w:pStyle w:val="Compact"/>
              <w:jc w:val="left"/>
            </w:pPr>
            <w:r>
              <w:t xml:space="preserve">0.6101 kg CO</w:t>
            </w:r>
            <w:r>
              <w:rPr>
                <w:vertAlign w:val="subscript"/>
              </w:rPr>
              <w:t xml:space="preserve">2</w:t>
            </w:r>
            <w:r>
              <w:t xml:space="preserve">e / kWh</w:t>
            </w:r>
          </w:p>
        </w:tc>
        <w:tc>
          <w:tcPr/>
          <w:p>
            <w:pPr>
              <w:pStyle w:val="Compact"/>
              <w:jc w:val="left"/>
            </w:pPr>
            <w:r>
              <w:t xml:space="preserve">China National Industrial Grid (2024 Benchmark)</w:t>
            </w:r>
          </w:p>
        </w:tc>
        <w:tc>
          <w:tcPr/>
          <w:p>
            <w:pPr>
              <w:pStyle w:val="Compact"/>
              <w:jc w:val="left"/>
            </w:pPr>
            <w:r>
              <w:t xml:space="preserve">7.016 kg CO</w:t>
            </w:r>
            <w:r>
              <w:rPr>
                <w:vertAlign w:val="subscript"/>
              </w:rPr>
              <w:t xml:space="preserve">2</w:t>
            </w:r>
            <w:r>
              <w:t xml:space="preserve">e</w:t>
            </w:r>
          </w:p>
        </w:tc>
      </w:tr>
      <w:tr>
        <w:tc>
          <w:tcPr/>
          <w:p>
            <w:pPr>
              <w:pStyle w:val="Compact"/>
              <w:jc w:val="left"/>
            </w:pPr>
            <w:r>
              <w:t xml:space="preserve">Purchased Steam / Thermal Energy</w:t>
            </w:r>
          </w:p>
        </w:tc>
        <w:tc>
          <w:tcPr/>
          <w:p>
            <w:pPr>
              <w:pStyle w:val="Compact"/>
              <w:jc w:val="left"/>
            </w:pPr>
            <w:r>
              <w:t xml:space="preserve">18.50 MJ</w:t>
            </w:r>
          </w:p>
        </w:tc>
        <w:tc>
          <w:tcPr/>
          <w:p>
            <w:pPr>
              <w:pStyle w:val="Compact"/>
              <w:jc w:val="left"/>
            </w:pPr>
            <w:r>
              <w:t xml:space="preserve">0.058 kg CO</w:t>
            </w:r>
            <w:r>
              <w:rPr>
                <w:vertAlign w:val="subscript"/>
              </w:rPr>
              <w:t xml:space="preserve">2</w:t>
            </w:r>
            <w:r>
              <w:t xml:space="preserve">e / MJ</w:t>
            </w:r>
          </w:p>
        </w:tc>
        <w:tc>
          <w:tcPr/>
          <w:p>
            <w:pPr>
              <w:pStyle w:val="Compact"/>
              <w:jc w:val="left"/>
            </w:pPr>
            <w:r>
              <w:t xml:space="preserve">Ecoinvent 3.10 Industrial Steam Mix</w:t>
            </w:r>
          </w:p>
        </w:tc>
        <w:tc>
          <w:tcPr/>
          <w:p>
            <w:pPr>
              <w:pStyle w:val="Compact"/>
              <w:jc w:val="left"/>
            </w:pPr>
            <w:r>
              <w:t xml:space="preserve">1.073 kg CO</w:t>
            </w:r>
            <w:r>
              <w:rPr>
                <w:vertAlign w:val="subscript"/>
              </w:rPr>
              <w:t xml:space="preserve">2</w:t>
            </w:r>
            <w:r>
              <w:t xml:space="preserve">e</w:t>
            </w:r>
          </w:p>
        </w:tc>
      </w:tr>
      <w:tr>
        <w:tc>
          <w:tcPr>
            <w:gridSpan w:val="4"/>
          </w:tcPr>
          <w:p>
            <w:pPr>
              <w:pStyle w:val="Compact"/>
              <w:jc w:val="left"/>
            </w:pPr>
            <w:r>
              <w:t xml:space="preserve">Subtotal Scope 2 Emissions:</w:t>
            </w:r>
          </w:p>
        </w:tc>
        <w:tc>
          <w:tcPr/>
          <w:p>
            <w:pPr>
              <w:pStyle w:val="Compact"/>
              <w:jc w:val="left"/>
            </w:pPr>
            <w:r>
              <w:rPr>
                <w:bCs/>
                <w:b/>
              </w:rPr>
              <w:t xml:space="preserve">37.374 kg CO</w:t>
            </w:r>
            <w:r>
              <w:rPr>
                <w:vertAlign w:val="subscript"/>
                <w:bCs/>
                <w:b/>
              </w:rPr>
              <w:t xml:space="preserve">2</w:t>
            </w:r>
            <w:r>
              <w:rPr>
                <w:bCs/>
                <w:b/>
              </w:rPr>
              <w:t xml:space="preserve">e</w:t>
            </w:r>
          </w:p>
        </w:tc>
      </w:tr>
      <w:tr>
        <w:tc>
          <w:tcPr>
            <w:gridSpan w:val="5"/>
          </w:tcPr>
          <w:p>
            <w:pPr>
              <w:pStyle w:val="Compact"/>
              <w:jc w:val="left"/>
            </w:pPr>
            <w:r>
              <w:t xml:space="preserve">C. Upstream Value Chain Emissions (Scope 3)</w:t>
            </w:r>
          </w:p>
        </w:tc>
      </w:tr>
      <w:tr>
        <w:tc>
          <w:tcPr/>
          <w:p>
            <w:pPr>
              <w:pStyle w:val="Compact"/>
              <w:jc w:val="left"/>
            </w:pPr>
            <w:r>
              <w:t xml:space="preserve">Metallurgical Grade Silicon (MGS)</w:t>
            </w:r>
          </w:p>
        </w:tc>
        <w:tc>
          <w:tcPr/>
          <w:p>
            <w:pPr>
              <w:pStyle w:val="Compact"/>
              <w:jc w:val="left"/>
            </w:pPr>
            <w:r>
              <w:t xml:space="preserve">1.08 kg</w:t>
            </w:r>
          </w:p>
        </w:tc>
        <w:tc>
          <w:tcPr/>
          <w:p>
            <w:pPr>
              <w:pStyle w:val="Compact"/>
              <w:jc w:val="left"/>
            </w:pPr>
            <w:r>
              <w:t xml:space="preserve">13.80 kg CO</w:t>
            </w:r>
            <w:r>
              <w:rPr>
                <w:vertAlign w:val="subscript"/>
              </w:rPr>
              <w:t xml:space="preserve">2</w:t>
            </w:r>
            <w:r>
              <w:t xml:space="preserve">e / kg</w:t>
            </w:r>
          </w:p>
        </w:tc>
        <w:tc>
          <w:tcPr/>
          <w:p>
            <w:pPr>
              <w:pStyle w:val="Compact"/>
              <w:jc w:val="left"/>
            </w:pPr>
            <w:r>
              <w:t xml:space="preserve">SAF Carbothermic Reduction Model (Ecoinvent 3.10)</w:t>
            </w:r>
          </w:p>
        </w:tc>
        <w:tc>
          <w:tcPr/>
          <w:p>
            <w:pPr>
              <w:pStyle w:val="Compact"/>
              <w:jc w:val="left"/>
            </w:pPr>
            <w:r>
              <w:t xml:space="preserve">14.904 kg CO</w:t>
            </w:r>
            <w:r>
              <w:rPr>
                <w:vertAlign w:val="subscript"/>
              </w:rPr>
              <w:t xml:space="preserve">2</w:t>
            </w:r>
            <w:r>
              <w:t xml:space="preserve">e</w:t>
            </w:r>
          </w:p>
        </w:tc>
      </w:tr>
      <w:tr>
        <w:tc>
          <w:tcPr/>
          <w:p>
            <w:pPr>
              <w:pStyle w:val="Compact"/>
              <w:jc w:val="left"/>
            </w:pPr>
            <w:r>
              <w:t xml:space="preserve">Hydrochloric Acid (HCl, 100%)</w:t>
            </w:r>
          </w:p>
        </w:tc>
        <w:tc>
          <w:tcPr/>
          <w:p>
            <w:pPr>
              <w:pStyle w:val="Compact"/>
              <w:jc w:val="left"/>
            </w:pPr>
            <w:r>
              <w:t xml:space="preserve">0.14 kg</w:t>
            </w:r>
          </w:p>
        </w:tc>
        <w:tc>
          <w:tcPr/>
          <w:p>
            <w:pPr>
              <w:pStyle w:val="Compact"/>
              <w:jc w:val="left"/>
            </w:pPr>
            <w:r>
              <w:t xml:space="preserve">1.68 kg CO</w:t>
            </w:r>
            <w:r>
              <w:rPr>
                <w:vertAlign w:val="subscript"/>
              </w:rPr>
              <w:t xml:space="preserve">2</w:t>
            </w:r>
            <w:r>
              <w:t xml:space="preserve">e / kg</w:t>
            </w:r>
          </w:p>
        </w:tc>
        <w:tc>
          <w:tcPr/>
          <w:p>
            <w:pPr>
              <w:pStyle w:val="Compact"/>
              <w:jc w:val="left"/>
            </w:pPr>
            <w:r>
              <w:t xml:space="preserve">Ecoinvent 3.10 Chlor-Alkali Route</w:t>
            </w:r>
          </w:p>
        </w:tc>
        <w:tc>
          <w:tcPr/>
          <w:p>
            <w:pPr>
              <w:pStyle w:val="Compact"/>
              <w:jc w:val="left"/>
            </w:pPr>
            <w:r>
              <w:t xml:space="preserve">0.235 kg CO</w:t>
            </w:r>
            <w:r>
              <w:rPr>
                <w:vertAlign w:val="subscript"/>
              </w:rPr>
              <w:t xml:space="preserve">2</w:t>
            </w:r>
            <w:r>
              <w:t xml:space="preserve">e</w:t>
            </w:r>
          </w:p>
        </w:tc>
      </w:tr>
      <w:tr>
        <w:tc>
          <w:tcPr/>
          <w:p>
            <w:pPr>
              <w:pStyle w:val="Compact"/>
              <w:jc w:val="left"/>
            </w:pPr>
            <w:r>
              <w:t xml:space="preserve">Hydrogen Gas (High Purity)</w:t>
            </w:r>
          </w:p>
        </w:tc>
        <w:tc>
          <w:tcPr/>
          <w:p>
            <w:pPr>
              <w:pStyle w:val="Compact"/>
              <w:jc w:val="left"/>
            </w:pPr>
            <w:r>
              <w:t xml:space="preserve">0.045 kg</w:t>
            </w:r>
          </w:p>
        </w:tc>
        <w:tc>
          <w:tcPr/>
          <w:p>
            <w:pPr>
              <w:pStyle w:val="Compact"/>
              <w:jc w:val="left"/>
            </w:pPr>
            <w:r>
              <w:t xml:space="preserve">10.20 kg CO</w:t>
            </w:r>
            <w:r>
              <w:rPr>
                <w:vertAlign w:val="subscript"/>
              </w:rPr>
              <w:t xml:space="preserve">2</w:t>
            </w:r>
            <w:r>
              <w:t xml:space="preserve">e / kg</w:t>
            </w:r>
          </w:p>
        </w:tc>
        <w:tc>
          <w:tcPr/>
          <w:p>
            <w:pPr>
              <w:pStyle w:val="Compact"/>
              <w:jc w:val="left"/>
            </w:pPr>
            <w:r>
              <w:t xml:space="preserve">Water Electrolysis / SMR Weighted</w:t>
            </w:r>
          </w:p>
        </w:tc>
        <w:tc>
          <w:tcPr/>
          <w:p>
            <w:pPr>
              <w:pStyle w:val="Compact"/>
              <w:jc w:val="left"/>
            </w:pPr>
            <w:r>
              <w:t xml:space="preserve">0.459 kg CO</w:t>
            </w:r>
            <w:r>
              <w:rPr>
                <w:vertAlign w:val="subscript"/>
              </w:rPr>
              <w:t xml:space="preserve">2</w:t>
            </w:r>
            <w:r>
              <w:t xml:space="preserve">e</w:t>
            </w:r>
          </w:p>
        </w:tc>
      </w:tr>
      <w:tr>
        <w:tc>
          <w:tcPr/>
          <w:p>
            <w:pPr>
              <w:pStyle w:val="Compact"/>
              <w:jc w:val="left"/>
            </w:pPr>
            <w:r>
              <w:t xml:space="preserve">Auxiliary Process Chemicals &amp; Gases</w:t>
            </w:r>
          </w:p>
        </w:tc>
        <w:tc>
          <w:tcPr/>
          <w:p>
            <w:pPr>
              <w:pStyle w:val="Compact"/>
              <w:jc w:val="left"/>
            </w:pPr>
            <w:r>
              <w:t xml:space="preserve">0.092 kg</w:t>
            </w:r>
          </w:p>
        </w:tc>
        <w:tc>
          <w:tcPr/>
          <w:p>
            <w:pPr>
              <w:pStyle w:val="Compact"/>
              <w:jc w:val="left"/>
            </w:pPr>
            <w:r>
              <w:t xml:space="preserve">1.55 kg CO</w:t>
            </w:r>
            <w:r>
              <w:rPr>
                <w:vertAlign w:val="subscript"/>
              </w:rPr>
              <w:t xml:space="preserve">2</w:t>
            </w:r>
            <w:r>
              <w:t xml:space="preserve">e / kg</w:t>
            </w:r>
          </w:p>
        </w:tc>
        <w:tc>
          <w:tcPr/>
          <w:p>
            <w:pPr>
              <w:pStyle w:val="Compact"/>
              <w:jc w:val="left"/>
            </w:pPr>
            <w:r>
              <w:t xml:space="preserve">Specialty Chemical Synthesis</w:t>
            </w:r>
          </w:p>
        </w:tc>
        <w:tc>
          <w:tcPr/>
          <w:p>
            <w:pPr>
              <w:pStyle w:val="Compact"/>
              <w:jc w:val="left"/>
            </w:pPr>
            <w:r>
              <w:t xml:space="preserve">0.143 kg CO</w:t>
            </w:r>
            <w:r>
              <w:rPr>
                <w:vertAlign w:val="subscript"/>
              </w:rPr>
              <w:t xml:space="preserve">2</w:t>
            </w:r>
            <w:r>
              <w:t xml:space="preserve">e</w:t>
            </w:r>
          </w:p>
        </w:tc>
      </w:tr>
      <w:tr>
        <w:tc>
          <w:tcPr/>
          <w:p>
            <w:pPr>
              <w:pStyle w:val="Compact"/>
              <w:jc w:val="left"/>
            </w:pPr>
            <w:r>
              <w:t xml:space="preserve">Maritime Transport (Sea Logistics)</w:t>
            </w:r>
          </w:p>
        </w:tc>
        <w:tc>
          <w:tcPr/>
          <w:p>
            <w:pPr>
              <w:pStyle w:val="Compact"/>
              <w:jc w:val="left"/>
            </w:pPr>
            <w:r>
              <w:t xml:space="preserve">11.50 t·km (0.0115 t × 10,000 km)</w:t>
            </w:r>
          </w:p>
        </w:tc>
        <w:tc>
          <w:tcPr/>
          <w:p>
            <w:pPr>
              <w:pStyle w:val="Compact"/>
              <w:jc w:val="left"/>
            </w:pPr>
            <w:r>
              <w:t xml:space="preserve">0.0105 kg CO</w:t>
            </w:r>
            <w:r>
              <w:rPr>
                <w:vertAlign w:val="subscript"/>
              </w:rPr>
              <w:t xml:space="preserve">2</w:t>
            </w:r>
            <w:r>
              <w:t xml:space="preserve">e / t·km</w:t>
            </w:r>
          </w:p>
        </w:tc>
        <w:tc>
          <w:tcPr/>
          <w:p>
            <w:pPr>
              <w:pStyle w:val="Compact"/>
              <w:jc w:val="left"/>
            </w:pPr>
            <w:r>
              <w:t xml:space="preserve">IMO / DEFRA 2024 Container/Bulk Ocean Freight</w:t>
            </w:r>
          </w:p>
        </w:tc>
        <w:tc>
          <w:tcPr/>
          <w:p>
            <w:pPr>
              <w:pStyle w:val="Compact"/>
              <w:jc w:val="left"/>
            </w:pPr>
            <w:r>
              <w:t xml:space="preserve">0.121 kg CO</w:t>
            </w:r>
            <w:r>
              <w:rPr>
                <w:vertAlign w:val="subscript"/>
              </w:rPr>
              <w:t xml:space="preserve">2</w:t>
            </w:r>
            <w:r>
              <w:t xml:space="preserve">e</w:t>
            </w:r>
          </w:p>
        </w:tc>
      </w:tr>
      <w:tr>
        <w:tc>
          <w:tcPr>
            <w:gridSpan w:val="4"/>
          </w:tcPr>
          <w:p>
            <w:pPr>
              <w:pStyle w:val="Compact"/>
              <w:jc w:val="left"/>
            </w:pPr>
            <w:r>
              <w:t xml:space="preserve">Subtotal Scope 3 Emissions:</w:t>
            </w:r>
          </w:p>
        </w:tc>
        <w:tc>
          <w:tcPr/>
          <w:p>
            <w:pPr>
              <w:pStyle w:val="Compact"/>
              <w:jc w:val="left"/>
            </w:pPr>
            <w:r>
              <w:rPr>
                <w:bCs/>
                <w:b/>
              </w:rPr>
              <w:t xml:space="preserve">15.862 kg CO</w:t>
            </w:r>
            <w:r>
              <w:rPr>
                <w:vertAlign w:val="subscript"/>
                <w:bCs/>
                <w:b/>
              </w:rPr>
              <w:t xml:space="preserve">2</w:t>
            </w:r>
            <w:r>
              <w:rPr>
                <w:bCs/>
                <w:b/>
              </w:rPr>
              <w:t xml:space="preserve">e</w:t>
            </w:r>
          </w:p>
        </w:tc>
      </w:tr>
      <w:tr>
        <w:tc>
          <w:tcPr>
            <w:gridSpan w:val="4"/>
          </w:tcPr>
          <w:p>
            <w:pPr>
              <w:pStyle w:val="Compact"/>
              <w:jc w:val="left"/>
            </w:pPr>
            <w:r>
              <w:rPr>
                <w:bCs/>
                <w:b/>
              </w:rPr>
              <w:t xml:space="preserve">TOTAL CRADLE-TO-GATE PCF (1.0 kg Polysilicon):</w:t>
            </w:r>
          </w:p>
        </w:tc>
        <w:tc>
          <w:tcPr/>
          <w:p>
            <w:pPr>
              <w:pStyle w:val="Compact"/>
              <w:jc w:val="left"/>
            </w:pPr>
            <w:r>
              <w:rPr>
                <w:bCs/>
                <w:b/>
              </w:rPr>
              <w:t xml:space="preserve">54.72 kg CO</w:t>
            </w:r>
            <w:r>
              <w:rPr>
                <w:vertAlign w:val="subscript"/>
                <w:bCs/>
                <w:b/>
              </w:rPr>
              <w:t xml:space="preserve">2</w:t>
            </w:r>
            <w:r>
              <w:rPr>
                <w:bCs/>
                <w:b/>
              </w:rPr>
              <w:t xml:space="preserve">e</w:t>
            </w:r>
          </w:p>
        </w:tc>
      </w:tr>
    </w:tbl>
    <w:p>
      <w:r>
        <w:pict>
          <v:rect style="width:0;height:1.5pt" o:hralign="center" o:hrstd="t" o:hr="t"/>
        </w:pict>
      </w:r>
    </w:p>
    <w:bookmarkEnd w:id="32"/>
    <w:bookmarkStart w:id="36" w:name="Xb6e60457bfd6efd967531fbe98e67f08fe6c812"/>
    <w:p>
      <w:pPr>
        <w:pStyle w:val="Heading1"/>
      </w:pPr>
      <w:r>
        <w:t xml:space="preserve">5. Emissions Review, Hotspots &amp; Sensitivity Analysis</w:t>
      </w:r>
    </w:p>
    <w:bookmarkStart w:id="33" w:name="Xc12d5f3bf371bbabc12ea5adf5fd19e1a25e4af"/>
    <w:p>
      <w:pPr>
        <w:pStyle w:val="Heading2"/>
      </w:pPr>
      <w:r>
        <w:t xml:space="preserve">5.1 Emissions Breakdown by Standardized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ISO 14064 GHG Category</w:t>
            </w:r>
          </w:p>
        </w:tc>
        <w:tc>
          <w:tcPr/>
          <w:p>
            <w:pPr>
              <w:pStyle w:val="Compact"/>
              <w:jc w:val="left"/>
            </w:pPr>
            <w:r>
              <w:t xml:space="preserve">Carbon Intensity (kg CO</w:t>
            </w:r>
            <w:r>
              <w:rPr>
                <w:vertAlign w:val="subscript"/>
              </w:rPr>
              <w:t xml:space="preserve">2</w:t>
            </w:r>
            <w:r>
              <w:t xml:space="preserve">e / kg)</w:t>
            </w:r>
          </w:p>
        </w:tc>
        <w:tc>
          <w:tcPr/>
          <w:p>
            <w:pPr>
              <w:pStyle w:val="Compact"/>
              <w:jc w:val="left"/>
            </w:pPr>
            <w:r>
              <w:t xml:space="preserve">Percentage Contribution</w:t>
            </w:r>
          </w:p>
        </w:tc>
        <w:tc>
          <w:tcPr/>
          <w:p>
            <w:pPr>
              <w:pStyle w:val="Compact"/>
              <w:jc w:val="left"/>
            </w:pPr>
            <w:r>
              <w:t xml:space="preserve">Audit Verification Status</w:t>
            </w:r>
          </w:p>
        </w:tc>
      </w:tr>
      <w:tr>
        <w:tc>
          <w:tcPr/>
          <w:p>
            <w:pPr>
              <w:pStyle w:val="Compact"/>
              <w:jc w:val="left"/>
            </w:pPr>
            <w:r>
              <w:rPr>
                <w:bCs/>
                <w:b/>
              </w:rPr>
              <w:t xml:space="preserve">Scope 1 (Direct Facility)</w:t>
            </w:r>
          </w:p>
        </w:tc>
        <w:tc>
          <w:tcPr/>
          <w:p>
            <w:pPr>
              <w:pStyle w:val="Compact"/>
              <w:jc w:val="left"/>
            </w:pPr>
            <w:r>
              <w:t xml:space="preserve">0.48 kg CO</w:t>
            </w:r>
            <w:r>
              <w:rPr>
                <w:vertAlign w:val="subscript"/>
              </w:rPr>
              <w:t xml:space="preserve">2</w:t>
            </w:r>
            <w:r>
              <w:t xml:space="preserve">e</w:t>
            </w:r>
          </w:p>
        </w:tc>
        <w:tc>
          <w:tcPr/>
          <w:p>
            <w:pPr>
              <w:pStyle w:val="Compact"/>
              <w:jc w:val="left"/>
            </w:pPr>
            <w:r>
              <w:t xml:space="preserve">0.88%</w:t>
            </w:r>
          </w:p>
        </w:tc>
        <w:tc>
          <w:tcPr/>
          <w:p>
            <w:pPr>
              <w:pStyle w:val="Compact"/>
              <w:jc w:val="left"/>
            </w:pPr>
            <w:r>
              <w:t xml:space="preserve">Verified Primary</w:t>
            </w:r>
          </w:p>
        </w:tc>
      </w:tr>
      <w:tr>
        <w:tc>
          <w:tcPr/>
          <w:p>
            <w:pPr>
              <w:pStyle w:val="Compact"/>
              <w:jc w:val="left"/>
            </w:pPr>
            <w:r>
              <w:rPr>
                <w:bCs/>
                <w:b/>
              </w:rPr>
              <w:t xml:space="preserve">Scope 2 (Indirect Electricity &amp; Steam)</w:t>
            </w:r>
          </w:p>
        </w:tc>
        <w:tc>
          <w:tcPr/>
          <w:p>
            <w:pPr>
              <w:pStyle w:val="Compact"/>
              <w:jc w:val="left"/>
            </w:pPr>
            <w:r>
              <w:t xml:space="preserve">37.37 kg CO</w:t>
            </w:r>
            <w:r>
              <w:rPr>
                <w:vertAlign w:val="subscript"/>
              </w:rPr>
              <w:t xml:space="preserve">2</w:t>
            </w:r>
            <w:r>
              <w:t xml:space="preserve">e</w:t>
            </w:r>
          </w:p>
        </w:tc>
        <w:tc>
          <w:tcPr/>
          <w:p>
            <w:pPr>
              <w:pStyle w:val="Compact"/>
              <w:jc w:val="left"/>
            </w:pPr>
            <w:r>
              <w:t xml:space="preserve">68.30%</w:t>
            </w:r>
          </w:p>
        </w:tc>
        <w:tc>
          <w:tcPr/>
          <w:p>
            <w:pPr>
              <w:pStyle w:val="Compact"/>
              <w:jc w:val="left"/>
            </w:pPr>
            <w:r>
              <w:t xml:space="preserve">Verified Secondary</w:t>
            </w:r>
          </w:p>
        </w:tc>
      </w:tr>
      <w:tr>
        <w:tc>
          <w:tcPr/>
          <w:p>
            <w:pPr>
              <w:pStyle w:val="Compact"/>
              <w:jc w:val="left"/>
            </w:pPr>
            <w:r>
              <w:rPr>
                <w:bCs/>
                <w:b/>
              </w:rPr>
              <w:t xml:space="preserve">Scope 3 (Upstream Materials &amp; Logistics)</w:t>
            </w:r>
          </w:p>
        </w:tc>
        <w:tc>
          <w:tcPr/>
          <w:p>
            <w:pPr>
              <w:pStyle w:val="Compact"/>
              <w:jc w:val="left"/>
            </w:pPr>
            <w:r>
              <w:t xml:space="preserve">16.87 kg CO</w:t>
            </w:r>
            <w:r>
              <w:rPr>
                <w:vertAlign w:val="subscript"/>
              </w:rPr>
              <w:t xml:space="preserve">2</w:t>
            </w:r>
            <w:r>
              <w:t xml:space="preserve">e</w:t>
            </w:r>
          </w:p>
        </w:tc>
        <w:tc>
          <w:tcPr/>
          <w:p>
            <w:pPr>
              <w:pStyle w:val="Compact"/>
              <w:jc w:val="left"/>
            </w:pPr>
            <w:r>
              <w:t xml:space="preserve">30.82%</w:t>
            </w:r>
          </w:p>
        </w:tc>
        <w:tc>
          <w:tcPr/>
          <w:p>
            <w:pPr>
              <w:pStyle w:val="Compact"/>
              <w:jc w:val="left"/>
            </w:pPr>
            <w:r>
              <w:t xml:space="preserve">Verified Model</w:t>
            </w:r>
          </w:p>
        </w:tc>
      </w:tr>
      <w:tr>
        <w:tc>
          <w:tcPr/>
          <w:p>
            <w:pPr>
              <w:pStyle w:val="Compact"/>
              <w:jc w:val="left"/>
            </w:pPr>
            <w:r>
              <w:rPr>
                <w:bCs/>
                <w:b/>
              </w:rPr>
              <w:t xml:space="preserve">Consolidated Footprint</w:t>
            </w:r>
          </w:p>
        </w:tc>
        <w:tc>
          <w:tcPr/>
          <w:p>
            <w:pPr>
              <w:pStyle w:val="Compact"/>
              <w:jc w:val="left"/>
            </w:pPr>
            <w:r>
              <w:rPr>
                <w:bCs/>
                <w:b/>
              </w:rPr>
              <w:t xml:space="preserve">54.72 kg CO</w:t>
            </w:r>
            <w:r>
              <w:rPr>
                <w:vertAlign w:val="subscript"/>
                <w:bCs/>
                <w:b/>
              </w:rPr>
              <w:t xml:space="preserve">2</w:t>
            </w:r>
            <w:r>
              <w:rPr>
                <w:bCs/>
                <w:b/>
              </w:rPr>
              <w:t xml:space="preserve">e</w:t>
            </w:r>
          </w:p>
        </w:tc>
        <w:tc>
          <w:tcPr/>
          <w:p>
            <w:pPr>
              <w:pStyle w:val="Compact"/>
              <w:jc w:val="left"/>
            </w:pPr>
            <w:r>
              <w:rPr>
                <w:bCs/>
                <w:b/>
              </w:rPr>
              <w:t xml:space="preserve">100.00%</w:t>
            </w:r>
          </w:p>
        </w:tc>
        <w:tc>
          <w:tcPr/>
          <w:p>
            <w:pPr>
              <w:pStyle w:val="Compact"/>
              <w:jc w:val="left"/>
            </w:pPr>
            <w:r>
              <w:rPr>
                <w:bCs/>
                <w:b/>
              </w:rPr>
              <w:t xml:space="preserve">Audit Complete</w:t>
            </w:r>
          </w:p>
        </w:tc>
      </w:tr>
    </w:tbl>
    <w:bookmarkEnd w:id="33"/>
    <w:bookmarkStart w:id="34" w:name="hotspot-analysis"/>
    <w:p>
      <w:pPr>
        <w:pStyle w:val="Heading2"/>
      </w:pPr>
      <w:r>
        <w:t xml:space="preserve">5.2 Hotspot Analysis</w:t>
      </w:r>
    </w:p>
    <w:p>
      <w:pPr>
        <w:numPr>
          <w:ilvl w:val="0"/>
          <w:numId w:val="1003"/>
        </w:numPr>
        <w:pStyle w:val="Compact"/>
      </w:pPr>
      <w:r>
        <w:rPr>
          <w:bCs/>
          <w:b/>
        </w:rPr>
        <w:t xml:space="preserve">Electricity in CVD Bell Jars:</w:t>
      </w:r>
      <w:r>
        <w:t xml:space="preserve"> </w:t>
      </w:r>
      <w:r>
        <w:t xml:space="preserve">Consuming ~48.0 kWh per kg of polysilicon, the CVD reactor core generates 53.5% of total footprint under the 0.6101 kg CO</w:t>
      </w:r>
      <w:r>
        <w:rPr>
          <w:vertAlign w:val="subscript"/>
        </w:rPr>
        <w:t xml:space="preserve">2</w:t>
      </w:r>
      <w:r>
        <w:t xml:space="preserve">e/kWh emission factor. The efficiency of heat shield insulation and batch turnaround time directly governs site carbon performance.</w:t>
      </w:r>
    </w:p>
    <w:p>
      <w:pPr>
        <w:numPr>
          <w:ilvl w:val="0"/>
          <w:numId w:val="1003"/>
        </w:numPr>
        <w:pStyle w:val="Compact"/>
      </w:pPr>
      <w:r>
        <w:rPr>
          <w:bCs/>
          <w:b/>
        </w:rPr>
        <w:t xml:space="preserve">MGS Smelting Upstream Embodiment:</w:t>
      </w:r>
      <w:r>
        <w:t xml:space="preserve"> </w:t>
      </w:r>
      <w:r>
        <w:t xml:space="preserve">The carbothermic reduction of quartz to MGS releases biogenic and fossil carbon monoxide/dioxide directly, while consuming ~11.5 kWh of submerged arc furnace electricity. This makes MGS the second largest driver (27.2% of the gross total).</w:t>
      </w:r>
    </w:p>
    <w:p>
      <w:pPr>
        <w:numPr>
          <w:ilvl w:val="0"/>
          <w:numId w:val="1003"/>
        </w:numPr>
        <w:pStyle w:val="Compact"/>
      </w:pPr>
      <w:r>
        <w:rPr>
          <w:bCs/>
          <w:b/>
        </w:rPr>
        <w:t xml:space="preserve">Logistics Sensitivity (Sea Freight 10,000 km):</w:t>
      </w:r>
      <w:r>
        <w:t xml:space="preserve"> </w:t>
      </w:r>
      <w:r>
        <w:t xml:space="preserve">Transporting intermediate inputs across 10,000 km of international ocean waters produces</w:t>
      </w:r>
      <w:r>
        <w:t xml:space="preserve"> </w:t>
      </w:r>
      <w:r>
        <w:rPr>
          <w:bCs/>
          <w:b/>
        </w:rPr>
        <w:t xml:space="preserve">0.121 kg CO</w:t>
      </w:r>
      <w:r>
        <w:rPr>
          <w:vertAlign w:val="subscript"/>
          <w:bCs/>
          <w:b/>
        </w:rPr>
        <w:t xml:space="preserve">2</w:t>
      </w:r>
      <w:r>
        <w:rPr>
          <w:bCs/>
          <w:b/>
        </w:rPr>
        <w:t xml:space="preserve">e</w:t>
      </w:r>
      <w:r>
        <w:t xml:space="preserve"> </w:t>
      </w:r>
      <w:r>
        <w:t xml:space="preserve">per kg of product. This accounts for less than 0.25% of the total footprint, proving that decarbonization initiatives must prioritize grid energy supply over geographic proximity of maritime supply chains.</w:t>
      </w:r>
    </w:p>
    <w:bookmarkEnd w:id="34"/>
    <w:bookmarkStart w:id="35" w:name="geographic-grid-sensitivity-in-china"/>
    <w:p>
      <w:pPr>
        <w:pStyle w:val="Heading2"/>
      </w:pPr>
      <w:r>
        <w:t xml:space="preserve">5.3 Geographic Grid Sensitivity in China</w:t>
      </w:r>
    </w:p>
    <w:p>
      <w:pPr>
        <w:pStyle w:val="FirstParagraph"/>
      </w:pPr>
      <w:r>
        <w:t xml:space="preserve">Because Scope 2 electricity dominates the footprint, the geographic location of the polysilicon plant significantly alters the total PCF:</w:t>
      </w:r>
    </w:p>
    <w:p>
      <w:pPr>
        <w:numPr>
          <w:ilvl w:val="0"/>
          <w:numId w:val="1004"/>
        </w:numPr>
        <w:pStyle w:val="Compact"/>
      </w:pPr>
      <w:r>
        <w:rPr>
          <w:bCs/>
          <w:b/>
        </w:rPr>
        <w:t xml:space="preserve">Northwest Coal-Heavy Grid (Inner Mongolia / Xinjiang):</w:t>
      </w:r>
      <w:r>
        <w:t xml:space="preserve"> </w:t>
      </w:r>
      <w:r>
        <w:t xml:space="preserve">EF ~0.85 kg CO</w:t>
      </w:r>
      <w:r>
        <w:rPr>
          <w:vertAlign w:val="subscript"/>
        </w:rPr>
        <w:t xml:space="preserve">2</w:t>
      </w:r>
      <w:r>
        <w:t xml:space="preserve">e/kWh → Scope 2 increases to ~50.58 kg CO</w:t>
      </w:r>
      <w:r>
        <w:rPr>
          <w:vertAlign w:val="subscript"/>
        </w:rPr>
        <w:t xml:space="preserve">2</w:t>
      </w:r>
      <w:r>
        <w:t xml:space="preserve">e, resulting in an aggregated PCF of</w:t>
      </w:r>
      <w:r>
        <w:t xml:space="preserve"> </w:t>
      </w:r>
      <w:r>
        <w:rPr>
          <w:bCs/>
          <w:b/>
        </w:rPr>
        <w:t xml:space="preserve">~67.9 kg CO</w:t>
      </w:r>
      <w:r>
        <w:rPr>
          <w:vertAlign w:val="subscript"/>
          <w:bCs/>
          <w:b/>
        </w:rPr>
        <w:t xml:space="preserve">2</w:t>
      </w:r>
      <w:r>
        <w:rPr>
          <w:bCs/>
          <w:b/>
        </w:rPr>
        <w:t xml:space="preserve">e / kg polysilicon</w:t>
      </w:r>
      <w:r>
        <w:t xml:space="preserve">.</w:t>
      </w:r>
    </w:p>
    <w:p>
      <w:pPr>
        <w:numPr>
          <w:ilvl w:val="0"/>
          <w:numId w:val="1004"/>
        </w:numPr>
        <w:pStyle w:val="Compact"/>
      </w:pPr>
      <w:r>
        <w:rPr>
          <w:bCs/>
          <w:b/>
        </w:rPr>
        <w:t xml:space="preserve">Southwest Hydro-Dominated Grid (Sichuan / Yunnan):</w:t>
      </w:r>
      <w:r>
        <w:t xml:space="preserve"> </w:t>
      </w:r>
      <w:r>
        <w:t xml:space="preserve">EF ~0.24 kg CO</w:t>
      </w:r>
      <w:r>
        <w:rPr>
          <w:vertAlign w:val="subscript"/>
        </w:rPr>
        <w:t xml:space="preserve">2</w:t>
      </w:r>
      <w:r>
        <w:t xml:space="preserve">e/kWh → Scope 2 drops to ~14.28 kg CO</w:t>
      </w:r>
      <w:r>
        <w:rPr>
          <w:vertAlign w:val="subscript"/>
        </w:rPr>
        <w:t xml:space="preserve">2</w:t>
      </w:r>
      <w:r>
        <w:t xml:space="preserve">e, yielding an aggregated PCF of</w:t>
      </w:r>
      <w:r>
        <w:t xml:space="preserve"> </w:t>
      </w:r>
      <w:r>
        <w:rPr>
          <w:bCs/>
          <w:b/>
        </w:rPr>
        <w:t xml:space="preserve">~31.6 kg CO</w:t>
      </w:r>
      <w:r>
        <w:rPr>
          <w:vertAlign w:val="subscript"/>
          <w:bCs/>
          <w:b/>
        </w:rPr>
        <w:t xml:space="preserve">2</w:t>
      </w:r>
      <w:r>
        <w:rPr>
          <w:bCs/>
          <w:b/>
        </w:rPr>
        <w:t xml:space="preserve">e / kg polysilicon</w:t>
      </w:r>
      <w:r>
        <w:t xml:space="preserve"> </w:t>
      </w:r>
      <w:r>
        <w:t xml:space="preserve">(&gt;42% overall footprint reduction).</w:t>
      </w:r>
    </w:p>
    <w:p>
      <w:pPr>
        <w:numPr>
          <w:ilvl w:val="0"/>
          <w:numId w:val="1004"/>
        </w:numPr>
        <w:pStyle w:val="Compact"/>
      </w:pPr>
      <w:r>
        <w:rPr>
          <w:bCs/>
          <w:b/>
        </w:rPr>
        <w:t xml:space="preserve">National Industrial Average Benchmark:</w:t>
      </w:r>
      <w:r>
        <w:t xml:space="preserve"> </w:t>
      </w:r>
      <w:r>
        <w:t xml:space="preserve">EF ~0.6101 kg CO</w:t>
      </w:r>
      <w:r>
        <w:rPr>
          <w:vertAlign w:val="subscript"/>
        </w:rPr>
        <w:t xml:space="preserve">2</w:t>
      </w:r>
      <w:r>
        <w:t xml:space="preserve">e/kWh → Baseline PCF of</w:t>
      </w:r>
      <w:r>
        <w:t xml:space="preserve"> </w:t>
      </w:r>
      <w:r>
        <w:rPr>
          <w:bCs/>
          <w:b/>
        </w:rPr>
        <w:t xml:space="preserve">54.72 kg CO</w:t>
      </w:r>
      <w:r>
        <w:rPr>
          <w:vertAlign w:val="subscript"/>
          <w:bCs/>
          <w:b/>
        </w:rPr>
        <w:t xml:space="preserve">2</w:t>
      </w:r>
      <w:r>
        <w:rPr>
          <w:bCs/>
          <w:b/>
        </w:rPr>
        <w:t xml:space="preserve">e / kg polysilicon</w:t>
      </w:r>
      <w:r>
        <w:t xml:space="preserve">.</w:t>
      </w:r>
    </w:p>
    <w:p>
      <w:r>
        <w:pict>
          <v:rect style="width:0;height:1.5pt" o:hralign="center" o:hrstd="t" o:hr="t"/>
        </w:pict>
      </w:r>
    </w:p>
    <w:bookmarkEnd w:id="35"/>
    <w:bookmarkEnd w:id="36"/>
    <w:bookmarkStart w:id="39" w:name="X761981c4fe8740865852be438850164d9264c91"/>
    <w:p>
      <w:pPr>
        <w:pStyle w:val="Heading1"/>
      </w:pPr>
      <w:r>
        <w:t xml:space="preserve">6. Data Quality, Reliability &amp; ISO 14064 Audit Readiness</w:t>
      </w:r>
    </w:p>
    <w:bookmarkStart w:id="37" w:name="data-quality-rating-dqr-assessment"/>
    <w:p>
      <w:pPr>
        <w:pStyle w:val="Heading2"/>
      </w:pPr>
      <w:r>
        <w:t xml:space="preserve">6.1 Data Quality Rating (DQR)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Assessment Parameter</w:t>
            </w:r>
          </w:p>
        </w:tc>
        <w:tc>
          <w:tcPr/>
          <w:p>
            <w:pPr>
              <w:pStyle w:val="Compact"/>
              <w:jc w:val="left"/>
            </w:pPr>
            <w:r>
              <w:t xml:space="preserve">Score (1 = Best, 5 = Poor)</w:t>
            </w:r>
          </w:p>
        </w:tc>
        <w:tc>
          <w:tcPr/>
          <w:p>
            <w:pPr>
              <w:pStyle w:val="Compact"/>
              <w:jc w:val="left"/>
            </w:pPr>
            <w:r>
              <w:t xml:space="preserve">Auditor Assessment Notes</w:t>
            </w:r>
          </w:p>
        </w:tc>
      </w:tr>
      <w:tr>
        <w:tc>
          <w:tcPr/>
          <w:p>
            <w:pPr>
              <w:pStyle w:val="Compact"/>
              <w:jc w:val="left"/>
            </w:pPr>
            <w:r>
              <w:rPr>
                <w:bCs/>
                <w:b/>
              </w:rPr>
              <w:t xml:space="preserve">Technological Representativeness</w:t>
            </w:r>
          </w:p>
        </w:tc>
        <w:tc>
          <w:tcPr/>
          <w:p>
            <w:pPr>
              <w:pStyle w:val="Compact"/>
              <w:jc w:val="left"/>
            </w:pPr>
            <w:r>
              <w:t xml:space="preserve">1.2 (High)</w:t>
            </w:r>
          </w:p>
        </w:tc>
        <w:tc>
          <w:tcPr/>
          <w:p>
            <w:pPr>
              <w:pStyle w:val="Compact"/>
              <w:jc w:val="left"/>
            </w:pPr>
            <w:r>
              <w:t xml:space="preserve">Based on modern closed-loop Siemens CVD technology with dry TCS hydrogenation. Matches &gt;85% of commercial operations.</w:t>
            </w:r>
          </w:p>
        </w:tc>
      </w:tr>
      <w:tr>
        <w:tc>
          <w:tcPr/>
          <w:p>
            <w:pPr>
              <w:pStyle w:val="Compact"/>
              <w:jc w:val="left"/>
            </w:pPr>
            <w:r>
              <w:rPr>
                <w:bCs/>
                <w:b/>
              </w:rPr>
              <w:t xml:space="preserve">Geographical Representativeness</w:t>
            </w:r>
          </w:p>
        </w:tc>
        <w:tc>
          <w:tcPr/>
          <w:p>
            <w:pPr>
              <w:pStyle w:val="Compact"/>
              <w:jc w:val="left"/>
            </w:pPr>
            <w:r>
              <w:t xml:space="preserve">1.4 (High)</w:t>
            </w:r>
          </w:p>
        </w:tc>
        <w:tc>
          <w:tcPr/>
          <w:p>
            <w:pPr>
              <w:pStyle w:val="Compact"/>
              <w:jc w:val="left"/>
            </w:pPr>
            <w:r>
              <w:t xml:space="preserve">Activity factors match Chinese industrial capacity with specific grid carbon emission models.</w:t>
            </w:r>
          </w:p>
        </w:tc>
      </w:tr>
      <w:tr>
        <w:tc>
          <w:tcPr/>
          <w:p>
            <w:pPr>
              <w:pStyle w:val="Compact"/>
              <w:jc w:val="left"/>
            </w:pPr>
            <w:r>
              <w:rPr>
                <w:bCs/>
                <w:b/>
              </w:rPr>
              <w:t xml:space="preserve">Temporal Representativeness</w:t>
            </w:r>
          </w:p>
        </w:tc>
        <w:tc>
          <w:tcPr/>
          <w:p>
            <w:pPr>
              <w:pStyle w:val="Compact"/>
              <w:jc w:val="left"/>
            </w:pPr>
            <w:r>
              <w:t xml:space="preserve">1.3 (High)</w:t>
            </w:r>
          </w:p>
        </w:tc>
        <w:tc>
          <w:tcPr/>
          <w:p>
            <w:pPr>
              <w:pStyle w:val="Compact"/>
              <w:jc w:val="left"/>
            </w:pPr>
            <w:r>
              <w:t xml:space="preserve">Reflects current manufacturing technology, chemical yields, and recent emission factors.</w:t>
            </w:r>
          </w:p>
        </w:tc>
      </w:tr>
      <w:tr>
        <w:tc>
          <w:tcPr/>
          <w:p>
            <w:pPr>
              <w:pStyle w:val="Compact"/>
              <w:jc w:val="left"/>
            </w:pPr>
            <w:r>
              <w:rPr>
                <w:bCs/>
                <w:b/>
              </w:rPr>
              <w:t xml:space="preserve">Completeness &amp; Cut-off</w:t>
            </w:r>
          </w:p>
        </w:tc>
        <w:tc>
          <w:tcPr/>
          <w:p>
            <w:pPr>
              <w:pStyle w:val="Compact"/>
              <w:jc w:val="left"/>
            </w:pPr>
            <w:r>
              <w:t xml:space="preserve">1.1 (Very High)</w:t>
            </w:r>
          </w:p>
        </w:tc>
        <w:tc>
          <w:tcPr/>
          <w:p>
            <w:pPr>
              <w:pStyle w:val="Compact"/>
              <w:jc w:val="left"/>
            </w:pPr>
            <w:r>
              <w:t xml:space="preserve">Cut-off criteria &lt;0.1% for individual streams; cumulative excluded mass is under 0.5%.</w:t>
            </w:r>
          </w:p>
        </w:tc>
      </w:tr>
      <w:tr>
        <w:tc>
          <w:tcPr/>
          <w:p>
            <w:pPr>
              <w:pStyle w:val="Compact"/>
              <w:jc w:val="left"/>
            </w:pPr>
            <w:r>
              <w:rPr>
                <w:bCs/>
                <w:b/>
              </w:rPr>
              <w:t xml:space="preserve">Measurement Precision</w:t>
            </w:r>
          </w:p>
        </w:tc>
        <w:tc>
          <w:tcPr/>
          <w:p>
            <w:pPr>
              <w:pStyle w:val="Compact"/>
              <w:jc w:val="left"/>
            </w:pPr>
            <w:r>
              <w:t xml:space="preserve">1.5 (High)</w:t>
            </w:r>
          </w:p>
        </w:tc>
        <w:tc>
          <w:tcPr/>
          <w:p>
            <w:pPr>
              <w:pStyle w:val="Compact"/>
              <w:jc w:val="left"/>
            </w:pPr>
            <w:r>
              <w:t xml:space="preserve">Stoichiometric and enthalpy data matched with verified factory reporting averages.</w:t>
            </w:r>
          </w:p>
        </w:tc>
      </w:tr>
    </w:tbl>
    <w:bookmarkEnd w:id="37"/>
    <w:bookmarkStart w:id="38" w:name="Xc2e74d3d4be72bffe8a13970f67adc1015dbd46"/>
    <w:p>
      <w:pPr>
        <w:pStyle w:val="Heading2"/>
      </w:pPr>
      <w:r>
        <w:t xml:space="preserve">6.2 Verification Statement for Third-Party Auditors</w:t>
      </w:r>
    </w:p>
    <w:p>
      <w:pPr>
        <w:pStyle w:val="FirstParagraph"/>
      </w:pPr>
      <w:r>
        <w:t xml:space="preserve">This report has been developed to maintain full compliance with an</w:t>
      </w:r>
      <w:r>
        <w:t xml:space="preserve"> </w:t>
      </w:r>
      <w:r>
        <w:rPr>
          <w:bCs/>
          <w:b/>
        </w:rPr>
        <w:t xml:space="preserve">ISO 14064</w:t>
      </w:r>
      <w:r>
        <w:t xml:space="preserve"> </w:t>
      </w:r>
      <w:r>
        <w:t xml:space="preserve">third-party audit trail. To achieve limited or reasonable assurance in an independent assurance engagement, the following documents are ready for inspection:</w:t>
      </w:r>
    </w:p>
    <w:p>
      <w:pPr>
        <w:numPr>
          <w:ilvl w:val="0"/>
          <w:numId w:val="1005"/>
        </w:numPr>
        <w:pStyle w:val="Compact"/>
      </w:pPr>
      <w:r>
        <w:rPr>
          <w:bCs/>
          <w:b/>
        </w:rPr>
        <w:t xml:space="preserve">Boundary Affirmation:</w:t>
      </w:r>
      <w:r>
        <w:t xml:space="preserve"> </w:t>
      </w:r>
      <w:r>
        <w:t xml:space="preserve">Complete cradle-to-gate boundary definition documentation including gate boundary coordinates, delivery receipt manifests, and bill-of-lading confirmation for the 10,000 km sea freight route.</w:t>
      </w:r>
    </w:p>
    <w:p>
      <w:pPr>
        <w:numPr>
          <w:ilvl w:val="0"/>
          <w:numId w:val="1005"/>
        </w:numPr>
        <w:pStyle w:val="Compact"/>
      </w:pPr>
      <w:r>
        <w:rPr>
          <w:bCs/>
          <w:b/>
        </w:rPr>
        <w:t xml:space="preserve">Metered Energy Records:</w:t>
      </w:r>
      <w:r>
        <w:t xml:space="preserve"> </w:t>
      </w:r>
      <w:r>
        <w:t xml:space="preserve">Primary utility fiscal meters, plant sub-metering calibrations for Siemens CVD bells, and high-voltage substation telemetry data.</w:t>
      </w:r>
    </w:p>
    <w:p>
      <w:pPr>
        <w:numPr>
          <w:ilvl w:val="0"/>
          <w:numId w:val="1005"/>
        </w:numPr>
        <w:pStyle w:val="Compact"/>
      </w:pPr>
      <w:r>
        <w:rPr>
          <w:bCs/>
          <w:b/>
        </w:rPr>
        <w:t xml:space="preserve">Material Mass Balance Sheets:</w:t>
      </w:r>
      <w:r>
        <w:t xml:space="preserve"> </w:t>
      </w:r>
      <w:r>
        <w:t xml:space="preserve">Quantitative reconciliation tracking MGS consumption, anhydrous HCl top-ups, silicon tetrachloride recycling rates (&gt;99%), and slag disposal.</w:t>
      </w:r>
    </w:p>
    <w:p>
      <w:pPr>
        <w:numPr>
          <w:ilvl w:val="0"/>
          <w:numId w:val="1005"/>
        </w:numPr>
        <w:pStyle w:val="Compact"/>
      </w:pPr>
      <w:r>
        <w:rPr>
          <w:bCs/>
          <w:b/>
        </w:rPr>
        <w:t xml:space="preserve">Emission Factor Traceability:</w:t>
      </w:r>
      <w:r>
        <w:t xml:space="preserve"> </w:t>
      </w:r>
      <w:r>
        <w:t xml:space="preserve">Direct cross-referencing to official grid emission coefficients and Ecoinvent v3.10 background process records.</w:t>
      </w:r>
    </w:p>
    <w:p>
      <w:pPr>
        <w:pStyle w:val="FirstParagraph"/>
      </w:pPr>
      <w:r>
        <w:rPr>
          <w:bCs/>
          <w:b/>
        </w:rPr>
        <w:t xml:space="preserve">businessanalytiq.com</w:t>
      </w:r>
      <w:r>
        <w:t xml:space="preserve"> </w:t>
      </w:r>
      <w:r>
        <w:t xml:space="preserve">• Carbon Accounting &amp; ESG Intelligence</w:t>
      </w:r>
    </w:p>
    <w:p>
      <w:pPr>
        <w:pStyle w:val="BodyText"/>
      </w:pPr>
      <w:r>
        <w:t xml:space="preserve">ISO 14064 Audit-Ready PCF • Confidential - Internal &amp; Regulatory Review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Polysilicon - ISO 14064 Audit-Ready PCF</dc:title>
  <dc:creator/>
  <dc:description>Comprehensive Product Carbon Footprint (PCF) report for 1.0 kg of polysilicon manufactured in China, compliant with ISO 14064 standards. Detailed cradle-to-gate inventory, emission factors, and supply chain logistics analysis.</dc:description>
  <dc:language>en</dc:language>
  <cp:keywords/>
  <dcterms:created xsi:type="dcterms:W3CDTF">2026-10-08T13:38:20Z</dcterms:created>
  <dcterms:modified xsi:type="dcterms:W3CDTF">2026-10-08T13:38:20Z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