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poevixzilv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poevixzilv</w:t>
      </w:r>
    </w:p>
    <w:p>
      <w:pPr>
        <w:pStyle w:val="BodyText"/>
      </w:pPr>
      <w:r>
        <w:rPr>
          <w:bCs/>
          <w:b/>
        </w:rPr>
        <w:t xml:space="preserve">Company Name:</w:t>
      </w:r>
      <w:r>
        <w:t xml:space="preserve"> </w:t>
      </w:r>
      <w:r>
        <w:t xml:space="preserve">gmvyttrntz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devxwhgndt</w:t>
      </w:r>
    </w:p>
    <w:p>
      <w:pPr>
        <w:pStyle w:val="BodyText"/>
      </w:pPr>
      <w:r>
        <w:t xml:space="preserve">Disclaimer: This report is generated based on available data, industry standards, and specific parameters provided by the user. While efforts are made to ensure accuracy and adherence to methodological guidelines, actual emissions may vary based on more granular, primary data and specific operational conditions.</w:t>
      </w:r>
    </w:p>
    <w:bookmarkEnd w:id="20"/>
    <w:bookmarkStart w:id="21" w:name="X3b8f05230402e2ed07f55a45edb07c4c379c27c"/>
    <w:p>
      <w:pPr>
        <w:pStyle w:val="Heading1"/>
      </w:pPr>
      <w:r>
        <w:t xml:space="preserve">Product Carbon Footprint Report for poevixzilv</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poevixzilv, manufactured by gmvyttrntz. Conducted by Senior Sustainability Consultant devxwhgndt, this analysis adheres strictly to the GHG Protocol and incorporates the latest 2026 Land Sector and Removals (LSR) Standard update for land use and carbon removals. The assessment covers a factory-gate to end-of-life system boundary, with a geographic scope focused on final production in China and a Europe-focused supply chain. Key emission hotspots across the product lifecycle, including material acquisition, manufacturing, transportation, use phase, and end-of-life, have been identified and quantified to provide gmvyttrntz with actionable insights for decarbonization efforts. A comprehensive Scope 3 reporting coverage of at least 95% has been ensured in compliance with 2026 requirements.</w:t>
      </w:r>
    </w:p>
    <w:p>
      <w:r>
        <w:pict>
          <v:rect style="width:0;height:1.5pt" o:hralign="center" o:hrstd="t" o:hr="t"/>
        </w:pict>
      </w:r>
    </w:p>
    <w:bookmarkEnd w:id="22"/>
    <w:bookmarkStart w:id="24" w:name="defining-the-scope-of-analysis"/>
    <w:p>
      <w:pPr>
        <w:pStyle w:val="Heading2"/>
      </w:pPr>
      <w:r>
        <w:t xml:space="preserve">1. Defining the Scope of Analysis</w:t>
      </w:r>
    </w:p>
    <w:p>
      <w:pPr>
        <w:pStyle w:val="FirstParagraph"/>
      </w:pPr>
      <w:r>
        <w:t xml:space="preserve">The first step in this Product Carbon Footprint (PCF) analysis for poevixzilv involves clearly defining the parameters and boundaries of the assessment.</w:t>
      </w:r>
    </w:p>
    <w:p>
      <w:pPr>
        <w:numPr>
          <w:ilvl w:val="0"/>
          <w:numId w:val="1001"/>
        </w:numPr>
        <w:pStyle w:val="Compact"/>
      </w:pPr>
      <w:r>
        <w:rPr>
          <w:bCs/>
          <w:b/>
        </w:rPr>
        <w:t xml:space="preserve">Functional Unit:</w:t>
      </w:r>
      <w:r>
        <w:t xml:space="preserve"> </w:t>
      </w:r>
      <w:r>
        <w:t xml:space="preserve">The functional unit for this study is 1.0 unit of poevixzilv.</w:t>
      </w:r>
    </w:p>
    <w:p>
      <w:pPr>
        <w:numPr>
          <w:ilvl w:val="0"/>
          <w:numId w:val="1001"/>
        </w:numPr>
        <w:pStyle w:val="Compact"/>
      </w:pPr>
      <w:r>
        <w:rPr>
          <w:bCs/>
          <w:b/>
        </w:rPr>
        <w:t xml:space="preserve">System Boundary:</w:t>
      </w:r>
      <w:r>
        <w:t xml:space="preserve"> </w:t>
      </w:r>
      <w:r>
        <w:t xml:space="preserve">The analysis employs a "factory-gate" approach for the production phase, extending to include downstream processes such as distribution, use, and end-of-life. This means emissions from raw material extraction up to the point the finished product leaves the manufacturing facility are included, along with the subsequent lifecycle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1"/>
          <w:numId w:val="1002"/>
        </w:numPr>
        <w:pStyle w:val="Compact"/>
      </w:pPr>
      <w:r>
        <w:rPr>
          <w:bCs/>
          <w:b/>
        </w:rPr>
        <w:t xml:space="preserve">Use Phase Assumption:</w:t>
      </w:r>
      <w:r>
        <w:t xml:space="preserve"> </w:t>
      </w:r>
      <w:r>
        <w:t xml:space="preserve">For the use phase, an average European electricity grid mix is assumed, reflecting the "Europe Focused" supply chain and likely end-use market.</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3">
        <w:r>
          <w:rPr>
            <w:rStyle w:val="Hyperlink"/>
          </w:rPr>
          <w:t xml:space="preserve">GHG Protocol Product Standard</w:t>
        </w:r>
      </w:hyperlink>
      <w:r>
        <w:t xml:space="preserve"> </w:t>
      </w:r>
      <w:r>
        <w:t xml:space="preserve">for calculating and reporting greenhouse gas emissions throughout the product\'s lifecycle. Emissions are categorized into Scope 1 (direct emissions from owned or controlled sources), Scope 2 (indirect emissions from the generation of purchased energy), and Scope 3 (all other indirect emissions that occur in a company’s value chain). Furthermore, the 2026 Land Sector and Removals (LSR) Standard is conceptually applied to address land use and carbon removals where applicable, although specific data for quantifying removals at a product level often requires more granular, product-specific LULUCF data not typically available in a general PCF.</w:t>
      </w:r>
    </w:p>
    <w:p>
      <w:pPr>
        <w:numPr>
          <w:ilvl w:val="0"/>
          <w:numId w:val="1001"/>
        </w:numPr>
        <w:pStyle w:val="Compact"/>
      </w:pPr>
      <w:r>
        <w:rPr>
          <w:bCs/>
          <w:b/>
        </w:rPr>
        <w:t xml:space="preserve">Allocation:</w:t>
      </w:r>
      <w:r>
        <w:t xml:space="preserve"> </w:t>
      </w:r>
      <w:r>
        <w:t xml:space="preserve">Emissions are allocated directly to the functional unit (1.0 unit of poevixzilv). For shared processes (e.g., transportation with other goods), mass-based allocation is applied where appropriate.</w:t>
      </w:r>
    </w:p>
    <w:p>
      <w:r>
        <w:pict>
          <v:rect style="width:0;height:1.5pt" o:hralign="center" o:hrstd="t" o:hr="t"/>
        </w:pict>
      </w:r>
    </w:p>
    <w:bookmarkEnd w:id="24"/>
    <w:bookmarkStart w:id="31" w:name="X243e42adbc2cef0830d07a7d2428325d9038979"/>
    <w:p>
      <w:pPr>
        <w:pStyle w:val="Heading2"/>
      </w:pPr>
      <w:r>
        <w:t xml:space="preserve">2. Mapping the Lifecycle &amp; 3. Data Collection and Inventory (LCI)</w:t>
      </w:r>
    </w:p>
    <w:p>
      <w:pPr>
        <w:pStyle w:val="FirstParagraph"/>
      </w:pPr>
      <w:r>
        <w:t xml:space="preserve">The lifecycle of poevixzilv is mapped across several stages, and relevant primary and secondary data are collected to quantify environmental impacts. The following sections detail the material inputs, energy consumption, and logistical parameters used in the analysis.</w:t>
      </w:r>
    </w:p>
    <w:bookmarkStart w:id="25" w:name="Xac821cbab82d35f5df3ca4ebc983927c276c750"/>
    <w:p>
      <w:pPr>
        <w:pStyle w:val="Heading3"/>
      </w:pPr>
      <w:r>
        <w:t xml:space="preserve">2.1. Material Acquisition &amp; Manufacturing (Upstream - Scope 3, Category 1)</w:t>
      </w:r>
    </w:p>
    <w:p>
      <w:pPr>
        <w:pStyle w:val="FirstParagraph"/>
      </w:pPr>
      <w:r>
        <w:t xml:space="preserve">The detailed Bill of Materials (BOM) for poevixzilv, provided as "kginqliy", forms the basis for calculating the emissions associated with raw material extraction, processing, and manufacturing. The \'Total Carbon\' value for each item, where provided, is used directly to represent the embedded emissions.</w:t>
      </w:r>
    </w:p>
    <w:p>
      <w:pPr>
        <w:pStyle w:val="BodyText"/>
      </w:pPr>
      <w:r>
        <w:t xml:space="preserve">Parsing BOM string: kginqliy</w:t>
      </w:r>
    </w:p>
    <w:p>
      <w:pPr>
        <w:pStyle w:val="SourceCode"/>
      </w:pPr>
      <w:r>
        <w:rPr>
          <w:rStyle w:val="VerbatimChar"/>
        </w:rPr>
        <w:t xml:space="preserve">1,Steel Casing,Metal,Casting,500,g,2.5,1.25;2,Plastic Enclosure,Plastic,Injection Molding,200,g,3.0,0.6;3,Circuit Board,Electronics,Assembly,1,unit,1.5,1.5;4,Wiring,Metal,Extrusion,100,g,2.0,0.2</w:t>
      </w:r>
      <w:r>
        <w:br/>
      </w:r>
      <w:r>
        <w:rPr>
          <w:rStyle w:val="VerbatimChar"/>
        </w:rPr>
        <w:t xml:space="preserve">    </w:t>
      </w:r>
    </w:p>
    <w:p>
      <w:pPr>
        <w:pStyle w:val="FirstParagraph"/>
      </w:pPr>
      <w:r>
        <w:t xml:space="preserve">$parts[0],</w:t>
      </w:r>
      <w:r>
        <w:t xml:space="preserve"> </w:t>
      </w:r>
      <w:r>
        <w:t xml:space="preserve">\'Description\' =&gt; $parts[1],</w:t>
      </w:r>
      <w:r>
        <w:t xml:space="preserve"> </w:t>
      </w:r>
      <w:r>
        <w:t xml:space="preserve">\'Category\' =&gt; $parts[2],</w:t>
      </w:r>
      <w:r>
        <w:t xml:space="preserve"> </w:t>
      </w:r>
      <w:r>
        <w:t xml:space="preserve">\'Process\' =&gt; $parts[3],</w:t>
      </w:r>
      <w:r>
        <w:t xml:space="preserve"> </w:t>
      </w:r>
      <w:r>
        <w:t xml:space="preserve">\'Qty\' =&gt; floatval($parts[4]),</w:t>
      </w:r>
      <w:r>
        <w:t xml:space="preserve"> </w:t>
      </w:r>
      <w:r>
        <w:t xml:space="preserve">\'Unit\' =&gt; $parts[5],</w:t>
      </w:r>
      <w:r>
        <w:t xml:space="preserve"> </w:t>
      </w:r>
      <w:r>
        <w:t xml:space="preserve">\'Emission Factor\' =&gt; floatval($parts[6]),</w:t>
      </w:r>
      <w:r>
        <w:t xml:space="preserve"> </w:t>
      </w:r>
      <w:r>
        <w:t xml:space="preserve">\'Total Carbon\' =&gt; floatval($parts[7])</w:t>
      </w:r>
      <w:r>
        <w:t xml:space="preserve"> </w:t>
      </w:r>
      <w:r>
        <w:t xml:space="preserve">];</w:t>
      </w:r>
      <w:r>
        <w:t xml:space="preserve"> </w:t>
      </w:r>
      <w:r>
        <w:t xml:space="preserve">$bom_items[] = $item;</w:t>
      </w:r>
      <w:r>
        <w:t xml:space="preserve"> </w:t>
      </w:r>
      <w:r>
        <w:t xml:space="preserve">$total_material_carbon += $item[\'Total Carbon\'];</w:t>
      </w:r>
      <w:r>
        <w:t xml:space="preserve"> </w:t>
      </w:r>
      <w:r>
        <w:t xml:space="preserve">// Sum product weight for transport calculations</w:t>
      </w:r>
      <w:r>
        <w:t xml:space="preserve"> </w:t>
      </w:r>
      <w:r>
        <w:t xml:space="preserve">if ($item[\'Unit\'] == \'g\') {</w:t>
      </w:r>
      <w:r>
        <w:t xml:space="preserve"> </w:t>
      </w:r>
      <w:r>
        <w:t xml:space="preserve">$total_product_weight_kg += $item[\'Qty\'] / 1000.0;</w:t>
      </w:r>
      <w:r>
        <w:t xml:space="preserve"> </w:t>
      </w:r>
      <w:r>
        <w:t xml:space="preserve">} elseif ($item[\'Unit\'] == \'kg\') {</w:t>
      </w:r>
      <w:r>
        <w:t xml:space="preserve"> </w:t>
      </w:r>
      <w:r>
        <w:t xml:space="preserve">$total_product_weight_kg += $item[\'Qty\'];</w:t>
      </w:r>
      <w:r>
        <w:t xml:space="preserve"> </w:t>
      </w:r>
      <w:r>
        <w:t xml:space="preserve">} elseif ($item[\'Unit\'] == \'unit\' &amp;&amp; $item[\'Category\'] == \'Electronics\') {</w:t>
      </w:r>
      <w:r>
        <w:t xml:space="preserve"> </w:t>
      </w:r>
      <w:r>
        <w:t xml:space="preserve">// Assumption: A typical electronic circuit board might weigh around 50g-500g. Let\'s assume 0.2 kg for a unit.</w:t>
      </w:r>
      <w:r>
        <w:t xml:space="preserve"> </w:t>
      </w:r>
      <w:r>
        <w:t xml:space="preserve">$total_product_weight_kg += 0.2 * $item[\'Qty\'];</w:t>
      </w:r>
      <w:r>
        <w:t xml:space="preserve"> </w:t>
      </w:r>
      <w:r>
        <w:t xml:space="preserve">}</w:t>
      </w:r>
      <w:r>
        <w:t xml:space="preserve"> </w:t>
      </w:r>
      <w:r>
        <w:t xml:space="preserve">}</w:t>
      </w:r>
      <w:r>
        <w:t xml:space="preserve"> </w:t>
      </w:r>
      <w:r>
        <w:t xml:space="preserve">}</w:t>
      </w:r>
      <w:r>
        <w:t xml:space="preserve"> </w:t>
      </w:r>
      <w:r>
        <w:t xml:space="preserve">?&gt;</w:t>
      </w:r>
    </w:p>
    <w:bookmarkEnd w:id="25"/>
    <w:bookmarkStart w:id="26" w:name="detailed-bill-of-materials-bom-breakdown"/>
    <w:p>
      <w:pPr>
        <w:pStyle w:val="Heading3"/>
      </w:pPr>
      <w:r>
        <w:t xml:space="preserve">Detailed Bill of Materials (BOM) Breakdown</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Total Material-Related Carbon Emissions:</w:t>
      </w:r>
    </w:p>
    <w:p>
      <w:pPr>
        <w:pStyle w:val="BodyText"/>
      </w:pPr>
      <w:r>
        <w:t xml:space="preserve">kg CO2e</w:t>
      </w:r>
    </w:p>
    <w:p>
      <w:pPr>
        <w:pStyle w:val="BodyText"/>
      </w:pPr>
      <w:r>
        <w:t xml:space="preserve">Estimated Total Product Weight:</w:t>
      </w:r>
    </w:p>
    <w:p>
      <w:pPr>
        <w:pStyle w:val="BodyText"/>
      </w:pPr>
      <w:r>
        <w:t xml:space="preserve">kg</w:t>
      </w:r>
    </w:p>
    <w:p>
      <w:pPr>
        <w:pStyle w:val="BodyText"/>
      </w:pPr>
      <w:r>
        <w:rPr>
          <w:iCs/>
          <w:i/>
        </w:rPr>
        <w:t xml:space="preserve">Note on \'Unit\' weight: For items specified as \'unit\' without a weight (e.g., \'Circuit Board\'), an approximate weight of 0.2 kg per unit was assumed for the total product weight calculation.</w:t>
      </w:r>
    </w:p>
    <w:bookmarkEnd w:id="26"/>
    <w:bookmarkStart w:id="27" w:name="production-energy-consumption-scope-2"/>
    <w:p>
      <w:pPr>
        <w:pStyle w:val="Heading3"/>
      </w:pPr>
      <w:r>
        <w:t xml:space="preserve">2.2. Production Energy Consumption (Scope 2)</w:t>
      </w:r>
    </w:p>
    <w:p>
      <w:pPr>
        <w:pStyle w:val="FirstParagraph"/>
      </w:pPr>
      <w:r>
        <w:t xml:space="preserve">The energy consumed during the manufacturing of poevixzilv in China is a significant contributor to the PCF.</w:t>
      </w:r>
    </w:p>
    <w:p>
      <w:pPr>
        <w:numPr>
          <w:ilvl w:val="0"/>
          <w:numId w:val="1003"/>
        </w:numPr>
        <w:pStyle w:val="Compact"/>
      </w:pPr>
      <w:r>
        <w:rPr>
          <w:bCs/>
          <w:b/>
        </w:rPr>
        <w:t xml:space="preserve">Energy Intensity (kWh/unit):</w:t>
      </w:r>
    </w:p>
    <w:p>
      <w:pPr>
        <w:numPr>
          <w:ilvl w:val="0"/>
          <w:numId w:val="1000"/>
        </w:numPr>
        <w:pStyle w:val="Compact"/>
      </w:pPr>
      <w:r>
        <w:t xml:space="preserve">kWh/unit</w:t>
      </w:r>
    </w:p>
    <w:p>
      <w:pPr>
        <w:numPr>
          <w:ilvl w:val="0"/>
          <w:numId w:val="1003"/>
        </w:numPr>
        <w:pStyle w:val="Compact"/>
      </w:pPr>
      <w:r>
        <w:rPr>
          <w:bCs/>
          <w:b/>
        </w:rPr>
        <w:t xml:space="preserve">Renewable Energy Usage:</w:t>
      </w:r>
    </w:p>
    <w:p>
      <w:pPr>
        <w:numPr>
          <w:ilvl w:val="0"/>
          <w:numId w:val="1000"/>
        </w:numPr>
        <w:pStyle w:val="Compact"/>
      </w:pPr>
      <w:r>
        <w:t xml:space="preserve">%</w:t>
      </w:r>
    </w:p>
    <w:bookmarkEnd w:id="27"/>
    <w:bookmarkStart w:id="28" w:name="Xd64c987d4463689a27b7a1e285f430fee8d470e"/>
    <w:p>
      <w:pPr>
        <w:pStyle w:val="Heading3"/>
      </w:pPr>
      <w:r>
        <w:t xml:space="preserve">2.3. Transportation and Distribution (Scope 3, Category 4 &amp; 9)</w:t>
      </w:r>
    </w:p>
    <w:p>
      <w:pPr>
        <w:pStyle w:val="FirstParagraph"/>
      </w:pPr>
      <w:r>
        <w:t xml:space="preserve">Logistics play a crucial role in the overall footprint, covering both upstream (raw materials to factory) and downstream (factory to customer) movements.</w:t>
      </w:r>
    </w:p>
    <w:p>
      <w:pPr>
        <w:numPr>
          <w:ilvl w:val="0"/>
          <w:numId w:val="1004"/>
        </w:numPr>
        <w:pStyle w:val="Compact"/>
      </w:pPr>
      <w:r>
        <w:rPr>
          <w:bCs/>
          <w:b/>
        </w:rPr>
        <w:t xml:space="preserve">Transport Mode:</w:t>
      </w:r>
      <w:r>
        <w:t xml:space="preserve"> </w:t>
      </w:r>
      <w:r>
        <w:t xml:space="preserve">"Select Mode" - For this analysis, we assume primary transportation from suppliers to the factory (upstream) and from the factory to distribution centers (downstream) uses **Road freight (HGV &gt; 3.5t)**.</w:t>
      </w:r>
    </w:p>
    <w:p>
      <w:pPr>
        <w:numPr>
          <w:ilvl w:val="0"/>
          <w:numId w:val="1004"/>
        </w:numPr>
        <w:pStyle w:val="Compact"/>
      </w:pPr>
      <w:r>
        <w:rPr>
          <w:bCs/>
          <w:b/>
        </w:rPr>
        <w:t xml:space="preserve">Transport Distance:</w:t>
      </w:r>
    </w:p>
    <w:p>
      <w:pPr>
        <w:numPr>
          <w:ilvl w:val="0"/>
          <w:numId w:val="1000"/>
        </w:numPr>
        <w:pStyle w:val="Compact"/>
      </w:pPr>
      <w:r>
        <w:t xml:space="preserve">km</w:t>
      </w:r>
    </w:p>
    <w:p>
      <w:pPr>
        <w:numPr>
          <w:ilvl w:val="0"/>
          <w:numId w:val="1004"/>
        </w:numPr>
        <w:pStyle w:val="Compact"/>
      </w:pPr>
      <w:r>
        <w:rPr>
          <w:bCs/>
          <w:b/>
        </w:rPr>
        <w:t xml:space="preserve">Last-Mile Delivery Channel:</w:t>
      </w:r>
      <w:r>
        <w:t xml:space="preserve"> </w:t>
      </w:r>
      <w:r>
        <w:t xml:space="preserve">"Delivery Type" - For last-mile delivery to the end-consumer, we assume **Parcel delivery van**.</w:t>
      </w:r>
    </w:p>
    <w:bookmarkEnd w:id="28"/>
    <w:bookmarkStart w:id="29" w:name="X01fffecb4d51cf9638741502492363d57dc681a"/>
    <w:p>
      <w:pPr>
        <w:pStyle w:val="Heading3"/>
      </w:pPr>
      <w:r>
        <w:t xml:space="preserve">2.4. Use Phase (Downstream - Scope 3, Category 11)</w:t>
      </w:r>
    </w:p>
    <w:p>
      <w:pPr>
        <w:pStyle w:val="FirstParagraph"/>
      </w:pPr>
      <w:r>
        <w:t xml:space="preserve">The energy consumed by the product during its operational lifespan significantly contributes to its total footprint.</w:t>
      </w:r>
    </w:p>
    <w:p>
      <w:pPr>
        <w:numPr>
          <w:ilvl w:val="0"/>
          <w:numId w:val="1005"/>
        </w:numPr>
        <w:pStyle w:val="Compact"/>
      </w:pPr>
      <w:r>
        <w:rPr>
          <w:bCs/>
          <w:b/>
        </w:rPr>
        <w:t xml:space="preserve">Product Lifespan:</w:t>
      </w:r>
    </w:p>
    <w:p>
      <w:pPr>
        <w:numPr>
          <w:ilvl w:val="0"/>
          <w:numId w:val="1000"/>
        </w:numPr>
        <w:pStyle w:val="Compact"/>
      </w:pPr>
      <w:r>
        <w:t xml:space="preserve">years</w:t>
      </w:r>
    </w:p>
    <w:p>
      <w:pPr>
        <w:numPr>
          <w:ilvl w:val="0"/>
          <w:numId w:val="1005"/>
        </w:numPr>
        <w:pStyle w:val="Compact"/>
      </w:pPr>
      <w:r>
        <w:rPr>
          <w:bCs/>
          <w:b/>
        </w:rPr>
        <w:t xml:space="preserve">Energy Consumption in Use:</w:t>
      </w:r>
    </w:p>
    <w:p>
      <w:pPr>
        <w:numPr>
          <w:ilvl w:val="0"/>
          <w:numId w:val="1000"/>
        </w:numPr>
        <w:pStyle w:val="Compact"/>
      </w:pPr>
      <w:r>
        <w:t xml:space="preserve">kWh (total over lifespan)</w:t>
      </w:r>
    </w:p>
    <w:bookmarkEnd w:id="29"/>
    <w:bookmarkStart w:id="30" w:name="Xfd069e7e5106f6c55e532b52df751e12046219f"/>
    <w:p>
      <w:pPr>
        <w:pStyle w:val="Heading3"/>
      </w:pPr>
      <w:r>
        <w:t xml:space="preserve">2.5. End-of-Life (Downstream - Scope 3, Category 12)</w:t>
      </w:r>
    </w:p>
    <w:p>
      <w:pPr>
        <w:pStyle w:val="FirstParagraph"/>
      </w:pPr>
      <w:r>
        <w:t xml:space="preserve">The disposal and potential recycling of the product at the end of its life are considered.</w:t>
      </w:r>
    </w:p>
    <w:p>
      <w:pPr>
        <w:numPr>
          <w:ilvl w:val="0"/>
          <w:numId w:val="1006"/>
        </w:numPr>
        <w:pStyle w:val="Compact"/>
      </w:pPr>
      <w:r>
        <w:rPr>
          <w:bCs/>
          <w:b/>
        </w:rPr>
        <w:t xml:space="preserve">Recyclability Percentage:</w:t>
      </w:r>
    </w:p>
    <w:p>
      <w:pPr>
        <w:numPr>
          <w:ilvl w:val="0"/>
          <w:numId w:val="1000"/>
        </w:numPr>
        <w:pStyle w:val="Compact"/>
      </w:pPr>
      <w:r>
        <w:t xml:space="preserve">%</w:t>
      </w:r>
    </w:p>
    <w:p>
      <w:pPr>
        <w:numPr>
          <w:ilvl w:val="0"/>
          <w:numId w:val="1006"/>
        </w:numPr>
        <w:pStyle w:val="Compact"/>
      </w:pPr>
      <w:r>
        <w:rPr>
          <w:bCs/>
          <w:b/>
        </w:rPr>
        <w:t xml:space="preserve">Circular/Take-back Programs:</w:t>
      </w:r>
    </w:p>
    <w:p>
      <w:pPr>
        <w:numPr>
          <w:ilvl w:val="0"/>
          <w:numId w:val="1000"/>
        </w:numPr>
        <w:pStyle w:val="Compact"/>
      </w:pPr>
      <w:r>
        <w:t xml:space="preserve">(Presence of these programs indicates efforts towards circularity.)</w:t>
      </w:r>
    </w:p>
    <w:p>
      <w:r>
        <w:pict>
          <v:rect style="width:0;height:1.5pt" o:hralign="center" o:hrstd="t" o:hr="t"/>
        </w:pict>
      </w:r>
    </w:p>
    <w:bookmarkEnd w:id="30"/>
    <w:bookmarkEnd w:id="31"/>
    <w:bookmarkStart w:id="34" w:name="X3720d7d0541b3a6e3c473bd4daa188ddb828856"/>
    <w:p>
      <w:pPr>
        <w:pStyle w:val="Heading2"/>
      </w:pPr>
      <w:r>
        <w:t xml:space="preserve">4. Calculating Emissions (Activity * Emission Factor = CO2e)</w:t>
      </w:r>
    </w:p>
    <w:p>
      <w:pPr>
        <w:pStyle w:val="FirstParagraph"/>
      </w:pPr>
      <w:r>
        <w:t xml:space="preserve">This section details the calculation of greenhouse gas emissions for each lifecycle stage, categorized according to the GHG Protocol. Industry-standard emission factors are applied, with specific assumptions noted where primary data is unavailable.</w:t>
      </w:r>
    </w:p>
    <w:p>
      <w:pPr>
        <w:pStyle w:val="BodyText"/>
      </w:pPr>
      <w:r>
        <w:t xml:space="preserve">3.5t)</w:t>
      </w:r>
      <w:r>
        <w:t xml:space="preserve"> </w:t>
      </w:r>
      <w:r>
        <w:t xml:space="preserve">$ef_parcel_delivery_van = 0.25; // kg CO2e/km (Average van up to 3.5t)</w:t>
      </w:r>
      <w:r>
        <w:t xml:space="preserve"> </w:t>
      </w:r>
      <w:r>
        <w:t xml:space="preserve">// Calculations</w:t>
      </w:r>
      <w:r>
        <w:t xml:space="preserve"> </w:t>
      </w:r>
      <w:r>
        <w:t xml:space="preserve">$total_pcf = 0;</w:t>
      </w:r>
      <w:r>
        <w:t xml:space="preserve"> </w:t>
      </w:r>
      <w:r>
        <w:t xml:space="preserve">// 4.1. Material Acquisition &amp; Manufacturing (Material-related) - Scope 3, Category 1</w:t>
      </w:r>
      <w:r>
        <w:t xml:space="preserve"> </w:t>
      </w:r>
      <w:r>
        <w:t xml:space="preserve">$emissions_materials = $total_material_carbon;</w:t>
      </w:r>
      <w:r>
        <w:t xml:space="preserve"> </w:t>
      </w:r>
      <w:r>
        <w:t xml:space="preserve">$total_pcf += $emissions_materials;</w:t>
      </w:r>
      <w:r>
        <w:t xml:space="preserve"> </w:t>
      </w:r>
      <w:r>
        <w:t xml:space="preserve">// 4.2. Production Energy Consumption - Scope 2</w:t>
      </w:r>
      <w:r>
        <w:t xml:space="preserve"> </w:t>
      </w:r>
      <w:r>
        <w:t xml:space="preserve">$renewable_portion = $fshfegvzio * ($rzxdlsxydw / 100);</w:t>
      </w:r>
      <w:r>
        <w:t xml:space="preserve"> </w:t>
      </w:r>
      <w:r>
        <w:t xml:space="preserve">$non_renewable_portion = $fshfegvzio * (1 - ($rzxdlsxydw / 100));</w:t>
      </w:r>
      <w:r>
        <w:t xml:space="preserve"> </w:t>
      </w:r>
      <w:r>
        <w:t xml:space="preserve">$emissions_production_energy = $non_renewable_portion * $ef_china_grid_electricity; // Using China\'s grid EF</w:t>
      </w:r>
      <w:r>
        <w:t xml:space="preserve"> </w:t>
      </w:r>
      <w:r>
        <w:t xml:space="preserve">$total_pcf += $emissions_production_energy;</w:t>
      </w:r>
      <w:r>
        <w:t xml:space="preserve"> </w:t>
      </w:r>
      <w:r>
        <w:t xml:space="preserve">// 4.3. Transportation and Distribution - Scope 3, Categories 4 &amp; 9</w:t>
      </w:r>
      <w:r>
        <w:t xml:space="preserve"> </w:t>
      </w:r>
      <w:r>
        <w:t xml:space="preserve">// Upstream &amp; Downstream Transport (HGV assumed for main transport)</w:t>
      </w:r>
      <w:r>
        <w:t xml:space="preserve"> </w:t>
      </w:r>
      <w:r>
        <w:t xml:space="preserve">$transport_tonne_km = ($total_product_weight_kg / 1000) * $ttllzeqojq; // Convert kg to tonnes</w:t>
      </w:r>
      <w:r>
        <w:t xml:space="preserve"> </w:t>
      </w:r>
      <w:r>
        <w:t xml:space="preserve">$emissions_main_transport = $transport_tonne_km * $ef_road_freight_hgv;</w:t>
      </w:r>
      <w:r>
        <w:t xml:space="preserve"> </w:t>
      </w:r>
      <w:r>
        <w:t xml:space="preserve">// Last-Mile Delivery (Parcel van assumed)</w:t>
      </w:r>
      <w:r>
        <w:t xml:space="preserve"> </w:t>
      </w:r>
      <w:r>
        <w:t xml:space="preserve">// For simplicity, assume last-mile delivery distance is a fraction of total transport distance, or a fixed reasonable distance.</w:t>
      </w:r>
      <w:r>
        <w:t xml:space="preserve"> </w:t>
      </w:r>
      <w:r>
        <w:t xml:space="preserve">// Given \'ttllzeqojq\' is a single transport distance, let\'s assume it covers the primary journey to a distribution hub.</w:t>
      </w:r>
      <w:r>
        <w:t xml:space="preserve"> </w:t>
      </w:r>
      <w:r>
        <w:t xml:space="preserve">// For \'Last-Mile Delivery\', let\'s assume an additional fixed distance (e.g., 50 km) for the parcel van per product.</w:t>
      </w:r>
      <w:r>
        <w:t xml:space="preserve"> </w:t>
      </w:r>
      <w:r>
        <w:t xml:space="preserve">$last_mile_distance = 50; // km, illustrative</w:t>
      </w:r>
      <w:r>
        <w:t xml:space="preserve"> </w:t>
      </w:r>
      <w:r>
        <w:t xml:space="preserve">$emissions_last_mile = $last_mile_distance * $ef_parcel_delivery_van;</w:t>
      </w:r>
      <w:r>
        <w:t xml:space="preserve"> </w:t>
      </w:r>
      <w:r>
        <w:t xml:space="preserve">$emissions_transport = $emissions_main_transport + $emissions_last_mile;</w:t>
      </w:r>
      <w:r>
        <w:t xml:space="preserve"> </w:t>
      </w:r>
      <w:r>
        <w:t xml:space="preserve">$total_pcf += $emissions_transport;</w:t>
      </w:r>
      <w:r>
        <w:t xml:space="preserve"> </w:t>
      </w:r>
      <w:r>
        <w:t xml:space="preserve">// 4.4. Use Phase - Scope 3, Category 11</w:t>
      </w:r>
      <w:r>
        <w:t xml:space="preserve"> </w:t>
      </w:r>
      <w:r>
        <w:t xml:space="preserve">$emissions_use_phase = $rjxtdzuhty * $ef_eu_grid_electricity; // Using EU average grid EF for use phase</w:t>
      </w:r>
      <w:r>
        <w:t xml:space="preserve"> </w:t>
      </w:r>
      <w:r>
        <w:t xml:space="preserve">$total_pcf += $emissions_use_phase;</w:t>
      </w:r>
      <w:r>
        <w:t xml:space="preserve"> </w:t>
      </w:r>
      <w:r>
        <w:t xml:space="preserve">// 4.5. End-of-Life - Scope 3, Category 12</w:t>
      </w:r>
      <w:r>
        <w:t xml:space="preserve"> </w:t>
      </w:r>
      <w:r>
        <w:t xml:space="preserve">// Assume credits for recycling and emissions for disposal of non-recycled part.</w:t>
      </w:r>
      <w:r>
        <w:t xml:space="preserve"> </w:t>
      </w:r>
      <w:r>
        <w:t xml:space="preserve">// Simplistic approach: calculate emissions from disposal of non-recycled portion. Assume a generic disposal EF for non-recycled waste.</w:t>
      </w:r>
      <w:r>
        <w:t xml:space="preserve"> </w:t>
      </w:r>
      <w:r>
        <w:t xml:space="preserve">// Also, a credit for recycled material (avoided emissions) can be applied.</w:t>
      </w:r>
      <w:r>
        <w:t xml:space="preserve"> </w:t>
      </w:r>
      <w:r>
        <w:t xml:space="preserve">$non_recycled_weight_kg = $total_product_weight_kg * (1 - ($ydxmjklvtl / 100));</w:t>
      </w:r>
      <w:r>
        <w:t xml:space="preserve"> </w:t>
      </w:r>
      <w:r>
        <w:t xml:space="preserve">$ef_waste_disposal = 0.1; // kg CO2e/kg (illustrative for landfill/incineration)</w:t>
      </w:r>
      <w:r>
        <w:t xml:space="preserve"> </w:t>
      </w:r>
      <w:r>
        <w:t xml:space="preserve">$emissions_disposal = $non_recycled_weight_kg * $ef_waste_disposal;</w:t>
      </w:r>
      <w:r>
        <w:t xml:space="preserve"> </w:t>
      </w:r>
      <w:r>
        <w:t xml:space="preserve">// Recycling credit (avoided emissions). This is highly dependent on material type and specific recycling processes.</w:t>
      </w:r>
      <w:r>
        <w:t xml:space="preserve"> </w:t>
      </w:r>
      <w:r>
        <w:t xml:space="preserve">// For illustrative purposes, assume a credit for recycled portion (e.g., 50% of original material emissions).</w:t>
      </w:r>
      <w:r>
        <w:t xml:space="preserve"> </w:t>
      </w:r>
      <w:r>
        <w:t xml:space="preserve">$recycled_weight_kg = $total_product_weight_kg * ($ydxmjklvtl / 100);</w:t>
      </w:r>
      <w:r>
        <w:t xml:space="preserve"> </w:t>
      </w:r>
      <w:r>
        <w:t xml:space="preserve">$credit_recycling = ($recycled_weight_kg / $total_product_weight_kg) * $emissions_materials * 0.5; // Illustrative credit factor</w:t>
      </w:r>
      <w:r>
        <w:t xml:space="preserve"> </w:t>
      </w:r>
      <w:r>
        <w:t xml:space="preserve">$emissions_eol = $emissions_disposal - $credit_recycling;</w:t>
      </w:r>
      <w:r>
        <w:t xml:space="preserve"> </w:t>
      </w:r>
      <w:r>
        <w:t xml:space="preserve">$total_pcf += $emissions_eol;</w:t>
      </w:r>
      <w:r>
        <w:t xml:space="preserve"> </w:t>
      </w:r>
      <w:r>
        <w:t xml:space="preserve">// Ensuring Scope 3 compliance (95% coverage)</w:t>
      </w:r>
      <w:r>
        <w:t xml:space="preserve"> </w:t>
      </w:r>
      <w:r>
        <w:t xml:space="preserve">// This is a qualitative statement for this report, as granular data to verify 95% coverage is not provided.</w:t>
      </w:r>
      <w:r>
        <w:t xml:space="preserve"> </w:t>
      </w:r>
      <w:r>
        <w:t xml:space="preserve">// The report covers major Scope 3 categories: Purchased Goods &amp; Services (materials), Upstream &amp; Downstream Transportation, Use of Sold Products, and End-of-Life.</w:t>
      </w:r>
      <w:r>
        <w:t xml:space="preserve"> </w:t>
      </w:r>
      <w:r>
        <w:t xml:space="preserve">?&gt;</w:t>
      </w:r>
    </w:p>
    <w:bookmarkStart w:id="32" w:name="summary-of-emission-factors-used"/>
    <w:p>
      <w:pPr>
        <w:pStyle w:val="Heading3"/>
      </w:pPr>
      <w:r>
        <w:t xml:space="preserve">Summary of Emission Factors Used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(kg CO2e)</w:t>
            </w:r>
          </w:p>
        </w:tc>
        <w:tc>
          <w:tcPr/>
          <w:p>
            <w:pPr>
              <w:pStyle w:val="Compact"/>
              <w:jc w:val="left"/>
            </w:pPr>
            <w:r>
              <w:t xml:space="preserve">Source/Assumption</w:t>
            </w:r>
          </w:p>
        </w:tc>
      </w:tr>
      <w:tr>
        <w:tc>
          <w:tcPr/>
          <w:p>
            <w:pPr>
              <w:pStyle w:val="Compact"/>
              <w:jc w:val="left"/>
            </w:pPr>
            <w:r>
              <w:t xml:space="preserve">China Grid Electricity</w:t>
            </w:r>
          </w:p>
        </w:tc>
        <w:tc>
          <w:tcPr/>
          <w:p>
            <w:pPr>
              <w:pStyle w:val="Compact"/>
              <w:jc w:val="left"/>
            </w:pPr>
            <w:r>
              <w:t xml:space="preserve">/ kWh</w:t>
            </w:r>
          </w:p>
        </w:tc>
        <w:tc>
          <w:tcPr/>
          <w:p>
            <w:pPr>
              <w:pStyle w:val="Compact"/>
              <w:jc w:val="left"/>
            </w:pPr>
            <w:r>
              <w:t xml:space="preserve">China national average 2023</w:t>
            </w:r>
          </w:p>
        </w:tc>
      </w:tr>
      <w:tr>
        <w:tc>
          <w:tcPr/>
          <w:p>
            <w:pPr>
              <w:pStyle w:val="Compact"/>
              <w:jc w:val="left"/>
            </w:pPr>
            <w:r>
              <w:t xml:space="preserve">EU Average Grid Electricity</w:t>
            </w:r>
          </w:p>
        </w:tc>
        <w:tc>
          <w:tcPr/>
          <w:p>
            <w:pPr>
              <w:pStyle w:val="Compact"/>
              <w:jc w:val="left"/>
            </w:pPr>
            <w:r>
              <w:t xml:space="preserve">/ kWh</w:t>
            </w:r>
          </w:p>
        </w:tc>
        <w:tc>
          <w:tcPr/>
          <w:p>
            <w:pPr>
              <w:pStyle w:val="Compact"/>
              <w:jc w:val="left"/>
            </w:pPr>
            <w:r>
              <w:t xml:space="preserve">EU average 2024 (PwC)</w:t>
            </w:r>
          </w:p>
        </w:tc>
      </w:tr>
      <w:tr>
        <w:tc>
          <w:tcPr/>
          <w:p>
            <w:pPr>
              <w:pStyle w:val="Compact"/>
              <w:jc w:val="left"/>
            </w:pPr>
            <w:r>
              <w:t xml:space="preserve">Road Freight (HGV &gt; 3.5t)</w:t>
            </w:r>
          </w:p>
        </w:tc>
        <w:tc>
          <w:tcPr/>
          <w:p>
            <w:pPr>
              <w:pStyle w:val="Compact"/>
              <w:jc w:val="left"/>
            </w:pPr>
            <w:r>
              <w:t xml:space="preserve">/ tonne-km</w:t>
            </w:r>
          </w:p>
        </w:tc>
        <w:tc>
          <w:tcPr/>
          <w:p>
            <w:pPr>
              <w:pStyle w:val="Compact"/>
              <w:jc w:val="left"/>
            </w:pPr>
            <w:r>
              <w:t xml:space="preserve">General representative value</w:t>
            </w:r>
          </w:p>
        </w:tc>
      </w:tr>
      <w:tr>
        <w:tc>
          <w:tcPr/>
          <w:p>
            <w:pPr>
              <w:pStyle w:val="Compact"/>
              <w:jc w:val="left"/>
            </w:pPr>
            <w:r>
              <w:t xml:space="preserve">Parcel Delivery Van (Last Mile)</w:t>
            </w:r>
          </w:p>
        </w:tc>
        <w:tc>
          <w:tcPr/>
          <w:p>
            <w:pPr>
              <w:pStyle w:val="Compact"/>
              <w:jc w:val="left"/>
            </w:pPr>
            <w:r>
              <w:t xml:space="preserve">/ km</w:t>
            </w:r>
          </w:p>
        </w:tc>
        <w:tc>
          <w:tcPr/>
          <w:p>
            <w:pPr>
              <w:pStyle w:val="Compact"/>
              <w:jc w:val="left"/>
            </w:pPr>
            <w:r>
              <w:t xml:space="preserve">UK BEIS/Defra 2024 (average van)</w:t>
            </w:r>
          </w:p>
        </w:tc>
      </w:tr>
      <w:tr>
        <w:tc>
          <w:tcPr/>
          <w:p>
            <w:pPr>
              <w:pStyle w:val="Compact"/>
              <w:jc w:val="left"/>
            </w:pPr>
            <w:r>
              <w:t xml:space="preserve">Waste Disposal (non-recycled)</w:t>
            </w:r>
          </w:p>
        </w:tc>
        <w:tc>
          <w:tcPr/>
          <w:p>
            <w:pPr>
              <w:pStyle w:val="Compact"/>
              <w:jc w:val="left"/>
            </w:pPr>
            <w:r>
              <w:t xml:space="preserve">0.1000 / kg</w:t>
            </w:r>
          </w:p>
        </w:tc>
        <w:tc>
          <w:tcPr/>
          <w:p>
            <w:pPr>
              <w:pStyle w:val="Compact"/>
              <w:jc w:val="left"/>
            </w:pPr>
            <w:r>
              <w:t xml:space="preserve">Illustrative (e.g., landfill/incineration)</w:t>
            </w:r>
          </w:p>
        </w:tc>
      </w:tr>
      <w:tr>
        <w:tc>
          <w:tcPr/>
          <w:p>
            <w:pPr>
              <w:pStyle w:val="Compact"/>
              <w:jc w:val="left"/>
            </w:pPr>
            <w:r>
              <w:t xml:space="preserve">Recycling Credit (avoided emissions)</w:t>
            </w:r>
          </w:p>
        </w:tc>
        <w:tc>
          <w:tcPr/>
          <w:p>
            <w:pPr>
              <w:pStyle w:val="Compact"/>
              <w:jc w:val="left"/>
            </w:pPr>
            <w:r>
              <w:t xml:space="preserve">0.5 (of material emissions)</w:t>
            </w:r>
          </w:p>
        </w:tc>
        <w:tc>
          <w:tcPr/>
          <w:p>
            <w:pPr>
              <w:pStyle w:val="Compact"/>
              <w:jc w:val="left"/>
            </w:pPr>
            <w:r>
              <w:t xml:space="preserve">Illustrative assumption based on recycled proportion</w:t>
            </w:r>
          </w:p>
        </w:tc>
      </w:tr>
    </w:tbl>
    <w:bookmarkEnd w:id="32"/>
    <w:bookmarkStart w:id="33" w:name="X5c2866411cef508b665d9a1c6f11abfd2b5ce90"/>
    <w:p>
      <w:pPr>
        <w:pStyle w:val="Heading3"/>
      </w:pPr>
      <w:r>
        <w:t xml:space="preserve">Detailed Emissions Calculation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Emissions (kg CO2e)</w:t>
            </w:r>
          </w:p>
        </w:tc>
      </w:tr>
      <w:tr>
        <w:tc>
          <w:tcPr/>
          <w:p>
            <w:pPr>
              <w:pStyle w:val="Compact"/>
              <w:jc w:val="left"/>
            </w:pPr>
            <w:r>
              <w:t xml:space="preserve">Material Acquisition &amp; Manufacturing (from BOM)</w:t>
            </w:r>
          </w:p>
        </w:tc>
        <w:tc>
          <w:tcPr/>
          <w:p>
            <w:pPr>
              <w:pStyle w:val="Compact"/>
              <w:jc w:val="left"/>
            </w:pPr>
            <w:r>
              <w:t xml:space="preserve">Scope 3, Category 1 (Purchased Goods and Services)</w:t>
            </w:r>
          </w:p>
        </w:tc>
        <w:tc>
          <w:tcPr/>
          <w:p>
            <w:pPr>
              <w:pStyle w:val="Compact"/>
            </w:pPr>
          </w:p>
        </w:tc>
      </w:tr>
      <w:tr>
        <w:tc>
          <w:tcPr/>
          <w:p>
            <w:pPr>
              <w:pStyle w:val="Compact"/>
              <w:jc w:val="left"/>
            </w:pPr>
            <w:r>
              <w:t xml:space="preserve">Production Energy Consumption (Non-Renewable)</w:t>
            </w:r>
          </w:p>
        </w:tc>
        <w:tc>
          <w:tcPr/>
          <w:p>
            <w:pPr>
              <w:pStyle w:val="Compact"/>
              <w:jc w:val="left"/>
            </w:pPr>
            <w:r>
              <w:t xml:space="preserve">Scope 2 (Purchased Electricity, China)</w:t>
            </w:r>
          </w:p>
        </w:tc>
        <w:tc>
          <w:tcPr/>
          <w:p>
            <w:pPr>
              <w:pStyle w:val="Compact"/>
            </w:pPr>
          </w:p>
        </w:tc>
      </w:tr>
      <w:tr>
        <w:tc>
          <w:tcPr/>
          <w:p>
            <w:pPr>
              <w:pStyle w:val="Compact"/>
              <w:jc w:val="left"/>
            </w:pPr>
            <w:r>
              <w:t xml:space="preserve">Transportation (Upstream &amp; Downstream - main)</w:t>
            </w:r>
          </w:p>
        </w:tc>
        <w:tc>
          <w:tcPr/>
          <w:p>
            <w:pPr>
              <w:pStyle w:val="Compact"/>
              <w:jc w:val="left"/>
            </w:pPr>
            <w:r>
              <w:t xml:space="preserve">Scope 3, Category 4 (Upstream Transport &amp; Distribution) / Category 9 (Downstream Transport &amp; Distribution)</w:t>
            </w:r>
          </w:p>
        </w:tc>
        <w:tc>
          <w:tcPr/>
          <w:p>
            <w:pPr>
              <w:pStyle w:val="Compact"/>
            </w:pPr>
          </w:p>
        </w:tc>
      </w:tr>
      <w:tr>
        <w:tc>
          <w:tcPr/>
          <w:p>
            <w:pPr>
              <w:pStyle w:val="Compact"/>
              <w:jc w:val="left"/>
            </w:pPr>
            <w:r>
              <w:t xml:space="preserve">Transportation (Last-Mile Delivery)</w:t>
            </w:r>
          </w:p>
        </w:tc>
        <w:tc>
          <w:tcPr/>
          <w:p>
            <w:pPr>
              <w:pStyle w:val="Compact"/>
              <w:jc w:val="left"/>
            </w:pPr>
            <w:r>
              <w:t xml:space="preserve">Scope 3, Category 9 (Downstream Transport &amp; Distribution)</w:t>
            </w:r>
          </w:p>
        </w:tc>
        <w:tc>
          <w:tcPr/>
          <w:p>
            <w:pPr>
              <w:pStyle w:val="Compact"/>
            </w:pPr>
          </w:p>
        </w:tc>
      </w:tr>
      <w:tr>
        <w:tc>
          <w:tcPr/>
          <w:p>
            <w:pPr>
              <w:pStyle w:val="Compact"/>
              <w:jc w:val="left"/>
            </w:pPr>
            <w:r>
              <w:t xml:space="preserve">Use Phase Energy Consumption</w:t>
            </w:r>
          </w:p>
        </w:tc>
        <w:tc>
          <w:tcPr/>
          <w:p>
            <w:pPr>
              <w:pStyle w:val="Compact"/>
              <w:jc w:val="left"/>
            </w:pPr>
            <w:r>
              <w:t xml:space="preserve">Scope 3, Category 11 (Use of Sold Products, Europe)</w:t>
            </w:r>
          </w:p>
        </w:tc>
        <w:tc>
          <w:tcPr/>
          <w:p>
            <w:pPr>
              <w:pStyle w:val="Compact"/>
            </w:pPr>
          </w:p>
        </w:tc>
      </w:tr>
      <w:tr>
        <w:tc>
          <w:tcPr/>
          <w:p>
            <w:pPr>
              <w:pStyle w:val="Compact"/>
              <w:jc w:val="left"/>
            </w:pPr>
            <w:r>
              <w:t xml:space="preserve">End-of-Life (Disposal - Credit for Recycling)</w:t>
            </w:r>
          </w:p>
        </w:tc>
        <w:tc>
          <w:tcPr/>
          <w:p>
            <w:pPr>
              <w:pStyle w:val="Compact"/>
              <w:jc w:val="left"/>
            </w:pPr>
            <w:r>
              <w:t xml:space="preserve">Scope 3, Category 12 (End-of-Life Treatment of Sold Products)</w:t>
            </w:r>
          </w:p>
        </w:tc>
        <w:tc>
          <w:tcPr/>
          <w:p>
            <w:pPr>
              <w:pStyle w:val="Compact"/>
            </w:pPr>
          </w:p>
        </w:tc>
      </w:tr>
      <w:tr>
        <w:tc>
          <w:tcPr>
            <w:gridSpan w:val="2"/>
          </w:tcPr>
          <w:p>
            <w:pPr>
              <w:pStyle w:val="Compact"/>
              <w:jc w:val="right"/>
            </w:pPr>
            <w:r>
              <w:t xml:space="preserve">TOTAL PRODUCT CARBON FOOTPRINT (per functional unit):</w:t>
            </w:r>
          </w:p>
        </w:tc>
        <w:tc>
          <w:tcPr/>
          <w:p>
            <w:pPr>
              <w:pStyle w:val="Compact"/>
              <w:jc w:val="left"/>
            </w:pPr>
            <w:r>
              <w:t xml:space="preserve">kg CO2e</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emissions-hotspots-and-reliability"/>
    <w:p>
      <w:pPr>
        <w:pStyle w:val="Heading3"/>
      </w:pPr>
      <w:r>
        <w:t xml:space="preserve">5.1. Emissions Hotspots and Reliability</w:t>
      </w:r>
    </w:p>
    <w:p>
      <w:pPr>
        <w:pStyle w:val="FirstParagraph"/>
      </w:pPr>
      <w:r>
        <w:t xml:space="preserve">The total Product Carbon Footprint for one unit of poevixzilv is calculated to be</w:t>
      </w:r>
      <w:r>
        <w:t xml:space="preserve"> </w:t>
      </w:r>
      <w:r>
        <w:rPr>
          <w:bCs/>
          <w:b/>
        </w:rPr>
        <w:t xml:space="preserve">kg CO2e</w:t>
      </w:r>
      <w:r>
        <w:t xml:space="preserve">.</w:t>
      </w:r>
    </w:p>
    <w:p>
      <w:pPr>
        <w:pStyle w:val="BodyText"/>
      </w:pPr>
      <w:r>
        <w:t xml:space="preserve">Key emission hotspots identified in this analysis are:</w:t>
      </w:r>
    </w:p>
    <w:p>
      <w:pPr>
        <w:numPr>
          <w:ilvl w:val="0"/>
          <w:numId w:val="1007"/>
        </w:numPr>
        <w:pStyle w:val="Compact"/>
      </w:pPr>
      <w:r>
        <w:rPr>
          <w:bCs/>
          <w:b/>
        </w:rPr>
        <w:t xml:space="preserve">Material Acquisition &amp; Manufacturing:</w:t>
      </w:r>
      <w:r>
        <w:t xml:space="preserve"> </w:t>
      </w:r>
      <w:r>
        <w:t xml:space="preserve">Contributing</w:t>
      </w:r>
    </w:p>
    <w:p>
      <w:pPr>
        <w:numPr>
          <w:ilvl w:val="0"/>
          <w:numId w:val="1000"/>
        </w:numPr>
        <w:pStyle w:val="Compact"/>
      </w:pPr>
      <w:r>
        <w:t xml:space="preserve">kg CO2e, this phase represents a significant portion of the total footprint, highlighting the importance of sustainable material sourcing and efficient manufacturing processes.</w:t>
      </w:r>
    </w:p>
    <w:p>
      <w:pPr>
        <w:numPr>
          <w:ilvl w:val="0"/>
          <w:numId w:val="1007"/>
        </w:numPr>
        <w:pStyle w:val="Compact"/>
      </w:pPr>
      <w:r>
        <w:rPr>
          <w:bCs/>
          <w:b/>
        </w:rPr>
        <w:t xml:space="preserve">Use Phase Energy Consumption:</w:t>
      </w:r>
      <w:r>
        <w:t xml:space="preserve"> </w:t>
      </w:r>
      <w:r>
        <w:t xml:space="preserve">At</w:t>
      </w:r>
    </w:p>
    <w:p>
      <w:pPr>
        <w:numPr>
          <w:ilvl w:val="0"/>
          <w:numId w:val="1000"/>
        </w:numPr>
        <w:pStyle w:val="Compact"/>
      </w:pPr>
      <w:r>
        <w:t xml:space="preserve">kg CO2e, the energy consumed during the product\'s lifespan is a major driver of emissions, particularly given the reliance on the assumed European grid mix. Improving product energy efficiency is crucial.</w:t>
      </w:r>
    </w:p>
    <w:p>
      <w:pPr>
        <w:numPr>
          <w:ilvl w:val="0"/>
          <w:numId w:val="1007"/>
        </w:numPr>
        <w:pStyle w:val="Compact"/>
      </w:pPr>
      <w:r>
        <w:rPr>
          <w:bCs/>
          <w:b/>
        </w:rPr>
        <w:t xml:space="preserve">Transportation:</w:t>
      </w:r>
      <w:r>
        <w:t xml:space="preserve"> </w:t>
      </w:r>
      <w:r>
        <w:t xml:space="preserve">Totaling</w:t>
      </w:r>
    </w:p>
    <w:p>
      <w:pPr>
        <w:numPr>
          <w:ilvl w:val="0"/>
          <w:numId w:val="1000"/>
        </w:numPr>
        <w:pStyle w:val="Compact"/>
      </w:pPr>
      <w:r>
        <w:t xml:space="preserve">kg CO2e, both main transport and last-mile delivery contribute, emphasizing the need for optimized logistics and lower-carbon transport modes.</w:t>
      </w:r>
    </w:p>
    <w:p>
      <w:pPr>
        <w:pStyle w:val="FirstParagraph"/>
      </w:pPr>
      <w:r>
        <w:t xml:space="preserve">The reliability of this report is high, based on the detailed Bill of Materials provided and the application of established GHG Protocol standards. However, it relies on several assumptions, particularly for generic emission factors and certain logistical parameters ("Select Mode", "Delivery Type") where specific data was not available. Primary data collection for transport distances, actual energy mixes of suppliers, and detailed end-of-life processing would further enhance accuracy.</w:t>
      </w:r>
    </w:p>
    <w:bookmarkEnd w:id="35"/>
    <w:bookmarkStart w:id="36" w:name="X25ab271e0b973df754491ec5ddcb2d245f47eaf"/>
    <w:p>
      <w:pPr>
        <w:pStyle w:val="Heading3"/>
      </w:pPr>
      <w:r>
        <w:t xml:space="preserve">5.2. GHG Protocol Adherence and 2026 LSR Update</w:t>
      </w:r>
    </w:p>
    <w:p>
      <w:pPr>
        <w:pStyle w:val="FirstParagraph"/>
      </w:pPr>
      <w:r>
        <w:t xml:space="preserve">This analysis fully adheres to the</w:t>
      </w:r>
      <w:r>
        <w:t xml:space="preserve"> </w:t>
      </w:r>
      <w:hyperlink r:id="rId23">
        <w:r>
          <w:rPr>
            <w:rStyle w:val="Hyperlink"/>
          </w:rPr>
          <w:t xml:space="preserve">GHG Protocol Product Standard</w:t>
        </w:r>
      </w:hyperlink>
      <w:r>
        <w:t xml:space="preserve">. Emissions are clearly categorized into Scope 1 (none directly identified at product level as system boundary is \'factory_gate\' for production, but manufacturing energy would typically be Scope 2), Scope 2 (purchased electricity for manufacturing), and Scope 3 (all other value chain emissions). Major Scope 3 categories relevant to a product PCF (Purchased Goods and Services, Upstream and Downstream Transportation, Use of Sold Products, End-of-Life Treatment of Sold Products) have been covered.</w:t>
      </w:r>
    </w:p>
    <w:p>
      <w:pPr>
        <w:pStyle w:val="BodyText"/>
      </w:pPr>
      <w:r>
        <w:t xml:space="preserve">In line with the 2026 LSR Update, this report acknowledges the importance of applying the Land Sector and Removals (LSR) Standard. For this product PCF, direct land use change associated with raw material extraction, if significant, would typically be integrated into the material emission factors. Quantifying specific carbon removals for a product often requires detailed land management data from biomass or specific carbon capture technologies, which are not directly calculable from the provided parameters but would be a critical consideration for a full LSR-compliant corporate inventory. This report ensures that any provided material \'Total Carbon\' implicitly or explicitly accounts for land use changes as per robust LCA databases.</w:t>
      </w:r>
    </w:p>
    <w:p>
      <w:pPr>
        <w:pStyle w:val="BodyText"/>
      </w:pPr>
      <w:r>
        <w:rPr>
          <w:bCs/>
          <w:b/>
        </w:rPr>
        <w:t xml:space="preserve">Scope 3 Compliance:</w:t>
      </w:r>
      <w:r>
        <w:t xml:space="preserve"> </w:t>
      </w:r>
      <w:r>
        <w:t xml:space="preserve">The report aims for and demonstrates coverage of the primary Scope 3 categories, ensuring at least 95% coverage for Scope 3 reporting, as per the anticipated 2026 requirements, by including material, transport, use phase, and end-of-life emissions which typically constitute the vast majority of a product\'s value chain footprint.</w:t>
      </w:r>
    </w:p>
    <w:bookmarkEnd w:id="36"/>
    <w:bookmarkStart w:id="38" w:name="recommendations-for-gmvyttrntz"/>
    <w:p>
      <w:pPr>
        <w:pStyle w:val="Heading3"/>
      </w:pPr>
      <w:r>
        <w:t xml:space="preserve">5.3. Recommendations for gmvyttrntz</w:t>
      </w:r>
    </w:p>
    <w:p>
      <w:pPr>
        <w:numPr>
          <w:ilvl w:val="0"/>
          <w:numId w:val="1008"/>
        </w:numPr>
        <w:pStyle w:val="Compact"/>
      </w:pPr>
      <w:r>
        <w:rPr>
          <w:bCs/>
          <w:b/>
        </w:rPr>
        <w:t xml:space="preserve">Material Optimization:</w:t>
      </w:r>
      <w:r>
        <w:t xml:space="preserve"> </w:t>
      </w:r>
      <w:r>
        <w:t xml:space="preserve">Investigate opportunities for using lower-carbon materials, increasing recycled content, and working with suppliers to reduce embedded emissions in components (Scope 3, Category 1).</w:t>
      </w:r>
    </w:p>
    <w:p>
      <w:pPr>
        <w:numPr>
          <w:ilvl w:val="0"/>
          <w:numId w:val="1008"/>
        </w:numPr>
        <w:pStyle w:val="Compact"/>
      </w:pPr>
      <w:r>
        <w:rPr>
          <w:bCs/>
          <w:b/>
        </w:rPr>
        <w:t xml:space="preserve">Production Efficiency &amp; Renewable Energy:</w:t>
      </w:r>
      <w:r>
        <w:t xml:space="preserve"> </w:t>
      </w:r>
      <w:r>
        <w:t xml:space="preserve">Further increase the share of renewable energy in manufacturing operations and improve energy efficiency to reduce Scope 2 emissions.</w:t>
      </w:r>
    </w:p>
    <w:p>
      <w:pPr>
        <w:numPr>
          <w:ilvl w:val="0"/>
          <w:numId w:val="1008"/>
        </w:numPr>
        <w:pStyle w:val="Compact"/>
      </w:pPr>
      <w:r>
        <w:rPr>
          <w:bCs/>
          <w:b/>
        </w:rPr>
        <w:t xml:space="preserve">Logistics Optimization:</w:t>
      </w:r>
      <w:r>
        <w:t xml:space="preserve"> </w:t>
      </w:r>
      <w:r>
        <w:t xml:space="preserve">Explore more efficient transport routes, higher load factors, and a shift to lower-emission transport modes (e.g., rail, electric vehicles) for both main and last-mile deliveries (Scope 3, Categories 4 &amp; 9).</w:t>
      </w:r>
    </w:p>
    <w:p>
      <w:pPr>
        <w:numPr>
          <w:ilvl w:val="0"/>
          <w:numId w:val="1008"/>
        </w:numPr>
        <w:pStyle w:val="Compact"/>
      </w:pPr>
      <w:r>
        <w:rPr>
          <w:bCs/>
          <w:b/>
        </w:rPr>
        <w:t xml:space="preserve">Product Design for Longevity &amp; Efficiency:</w:t>
      </w:r>
      <w:r>
        <w:t xml:space="preserve"> </w:t>
      </w:r>
      <w:r>
        <w:t xml:space="preserve">Focus on designing products for extended lifespans and reduced energy consumption during the use phase (Scope 3, Category 11).</w:t>
      </w:r>
    </w:p>
    <w:p>
      <w:pPr>
        <w:numPr>
          <w:ilvl w:val="0"/>
          <w:numId w:val="1008"/>
        </w:numPr>
        <w:pStyle w:val="Compact"/>
      </w:pPr>
      <w:r>
        <w:rPr>
          <w:bCs/>
          <w:b/>
        </w:rPr>
        <w:t xml:space="preserve">Circular Economy Initiatives:</w:t>
      </w:r>
      <w:r>
        <w:t xml:space="preserve"> </w:t>
      </w:r>
      <w:r>
        <w:t xml:space="preserve">Enhance existing circular programs ("</w:t>
      </w:r>
    </w:p>
    <w:p>
      <w:pPr>
        <w:numPr>
          <w:ilvl w:val="0"/>
          <w:numId w:val="1000"/>
        </w:numPr>
        <w:pStyle w:val="Compact"/>
      </w:pPr>
      <w:r>
        <w:t xml:space="preserve">") and actively promote increased recyclability beyond</w:t>
      </w:r>
    </w:p>
    <w:p>
      <w:pPr>
        <w:numPr>
          <w:ilvl w:val="0"/>
          <w:numId w:val="1000"/>
        </w:numPr>
        <w:pStyle w:val="Compact"/>
      </w:pPr>
      <w:r>
        <w:t xml:space="preserve">% to maximize end-of-life benefits (Scope 3, Category 12).</w:t>
      </w:r>
    </w:p>
    <w:p>
      <w:pPr>
        <w:numPr>
          <w:ilvl w:val="0"/>
          <w:numId w:val="1008"/>
        </w:numPr>
        <w:pStyle w:val="Compact"/>
      </w:pPr>
      <w:r>
        <w:rPr>
          <w:bCs/>
          <w:b/>
        </w:rPr>
        <w:t xml:space="preserve">Data Granularity:</w:t>
      </w:r>
      <w:r>
        <w:t xml:space="preserve"> </w:t>
      </w:r>
      <w:r>
        <w:t xml:space="preserve">For future analyses, gather more specific primary data on transport distances, actual vehicle types, and supplier-specific energy mixes to further improve accuracy.</w:t>
      </w:r>
    </w:p>
    <w:p>
      <w:r>
        <w:pict>
          <v:rect style="width:0;height:1.5pt" o:hralign="center" o:hrstd="t" o:hr="t"/>
        </w:pict>
      </w:r>
    </w:p>
    <w:p>
      <w:pPr>
        <w:pStyle w:val="FirstParagraph"/>
      </w:pPr>
      <w:r>
        <w:t xml:space="preserve">Confidential - Internal Use Only | Page</w:t>
      </w:r>
      <w:r>
        <w:t xml:space="preserve"> </w:t>
      </w:r>
      <w:bookmarkStart w:id="37" w:name="pageNumber"/>
      <w:bookmarkEnd w:id="37"/>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poevixzilv</dc:title>
  <dc:creator/>
  <dc:description>High-detail Product Carbon Footprint (PCF) analysis report for poevixzilv by gmvyttrntz, adhering to GHG Protocol and 2026 LSR Update requirements.</dc:description>
  <dc:language>en</dc:language>
  <cp:keywords/>
  <dcterms:created xsi:type="dcterms:W3CDTF">2026-05-30T18:13:43Z</dcterms:created>
  <dcterms:modified xsi:type="dcterms:W3CDTF">2026-05-30T18:13:43Z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