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pluvdnejnj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pluvdnejnj</w:t>
      </w:r>
    </w:p>
    <w:p>
      <w:pPr>
        <w:pStyle w:val="BodyText"/>
      </w:pPr>
      <w:r>
        <w:rPr>
          <w:bCs/>
          <w:b/>
        </w:rPr>
        <w:t xml:space="preserve">Company:</w:t>
      </w:r>
      <w:r>
        <w:t xml:space="preserve"> </w:t>
      </w:r>
      <w:r>
        <w:t xml:space="preserve">vydmeuwwwh</w:t>
      </w:r>
    </w:p>
    <w:p>
      <w:pPr>
        <w:pStyle w:val="BodyText"/>
      </w:pPr>
      <w:r>
        <w:rPr>
          <w:bCs/>
          <w:b/>
        </w:rPr>
        <w:t xml:space="preserve">Senior Sustainability Consultant:</w:t>
      </w:r>
      <w:r>
        <w:t xml:space="preserve"> </w:t>
      </w:r>
      <w:r>
        <w:t xml:space="preserve">nvleijwmde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data precision and evolving methodologies.</w:t>
      </w:r>
    </w:p>
    <w:bookmarkEnd w:id="20"/>
    <w:bookmarkStart w:id="21" w:name="X4a32738ae4222d8a502100b50fe89d0c7f89edd"/>
    <w:p>
      <w:pPr>
        <w:pStyle w:val="Heading1"/>
      </w:pPr>
      <w:r>
        <w:t xml:space="preserve">Product Carbon Footprint Analysis for pluvdnejnj</w:t>
      </w:r>
    </w:p>
    <w:p>
      <w:pPr>
        <w:pStyle w:val="FirstParagraph"/>
      </w:pPr>
      <w:r>
        <w:rPr>
          <w:bCs/>
          <w:b/>
        </w:rPr>
        <w:t xml:space="preserve">Generated Date:</w:t>
      </w:r>
      <w:r>
        <w:t xml:space="preserve"> </w:t>
      </w:r>
      <w:r>
        <w:t xml:space="preserve">May 18, 2026</w:t>
      </w:r>
    </w:p>
    <w:p>
      <w:pPr>
        <w:pStyle w:val="BodyText"/>
      </w:pPr>
      <w:r>
        <w:rPr>
          <w:bCs/>
          <w:b/>
        </w:rPr>
        <w:t xml:space="preserve">Consultant:</w:t>
      </w:r>
      <w:r>
        <w:t xml:space="preserve"> </w:t>
      </w:r>
      <w:r>
        <w:t xml:space="preserve">nvleijwmde, Senior Sustainability Consultant</w:t>
      </w:r>
    </w:p>
    <w:p>
      <w:pPr>
        <w:pStyle w:val="BodyText"/>
      </w:pPr>
      <w:r>
        <w:rPr>
          <w:bCs/>
          <w:b/>
        </w:rPr>
        <w:t xml:space="preserve">Company:</w:t>
      </w:r>
      <w:r>
        <w:t xml:space="preserve"> </w:t>
      </w:r>
      <w:r>
        <w:t xml:space="preserve">vydmeuwwwh</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pluvdnejnj</w:t>
      </w:r>
      <w:r>
        <w:t xml:space="preserve">, manufactured by</w:t>
      </w:r>
      <w:r>
        <w:t xml:space="preserve"> </w:t>
      </w:r>
      <w:r>
        <w:rPr>
          <w:bCs/>
          <w:b/>
        </w:rPr>
        <w:t xml:space="preserve">vydmeuwwwh</w:t>
      </w:r>
      <w:r>
        <w:t xml:space="preserve">. Conducted by Senior Sustainability Consultant</w:t>
      </w:r>
      <w:r>
        <w:t xml:space="preserve"> </w:t>
      </w:r>
      <w:r>
        <w:rPr>
          <w:bCs/>
          <w:b/>
        </w:rPr>
        <w:t xml:space="preserve">nvleijwmde</w:t>
      </w:r>
      <w:r>
        <w:t xml:space="preserve">, this analysis adheres to the GHG Protocol and incorporates the 2026 Land Sector and Removals (LSR) Standard. The assessment provides a comprehensive lifecycle perspective, identifying key emission hotspots across material sourcing, manufacturing, transport, use, and end-of-life phases. The total calculated Product Carbon Footprint for one functional unit of pluvdnejnj is</w:t>
      </w:r>
      <w:r>
        <w:t xml:space="preserve"> </w:t>
      </w:r>
      <w:r>
        <w:rPr>
          <w:bCs/>
          <w:b/>
        </w:rPr>
        <w:t xml:space="preserve">71.301 kg CO2e</w:t>
      </w:r>
      <w:r>
        <w:t xml:space="preserve">.</w:t>
      </w:r>
    </w:p>
    <w:p>
      <w:r>
        <w:pict>
          <v:rect style="width:0;height:1.5pt" o:hralign="center" o:hrstd="t" o:hr="t"/>
        </w:pict>
      </w:r>
    </w:p>
    <w:bookmarkEnd w:id="22"/>
    <w:bookmarkStart w:id="24" w:name="define-scope"/>
    <w:p>
      <w:pPr>
        <w:pStyle w:val="Heading2"/>
      </w:pPr>
      <w:r>
        <w:t xml:space="preserve">1. Define Scope</w:t>
      </w:r>
    </w:p>
    <w:p>
      <w:pPr>
        <w:pStyle w:val="FirstParagraph"/>
      </w:pPr>
      <w:r>
        <w:t xml:space="preserve">The initial phase of the PCF analysis establishes the boundaries and parameters for the assessment, ensuring a consistent and comparable evaluation.</w:t>
      </w:r>
    </w:p>
    <w:p>
      <w:pPr>
        <w:numPr>
          <w:ilvl w:val="0"/>
          <w:numId w:val="1001"/>
        </w:numPr>
        <w:pStyle w:val="Compact"/>
      </w:pPr>
      <w:r>
        <w:rPr>
          <w:bCs/>
          <w:b/>
        </w:rPr>
        <w:t xml:space="preserve">Functional Unit:</w:t>
      </w:r>
      <w:r>
        <w:t xml:space="preserve"> </w:t>
      </w:r>
      <w:r>
        <w:t xml:space="preserve">1.0 unit of pluvdnejnj. This represents the quantified performance of the product for which the environmental impact is measured.</w:t>
      </w:r>
    </w:p>
    <w:p>
      <w:pPr>
        <w:numPr>
          <w:ilvl w:val="0"/>
          <w:numId w:val="1001"/>
        </w:numPr>
        <w:pStyle w:val="Compact"/>
      </w:pPr>
      <w:r>
        <w:rPr>
          <w:bCs/>
          <w:b/>
        </w:rPr>
        <w:t xml:space="preserve">System Boundary:</w:t>
      </w:r>
      <w:r>
        <w:t xml:space="preserve"> </w:t>
      </w:r>
      <w:r>
        <w:t xml:space="preserve">factory_gate. The analysis considers all emissions from raw material extraction up to the product leaving the factory gate, including manufacturing processes. Downstream phases (transport to customer, use, and end-of-life) are also included to provide a full lifecycle assessment, despite the \'factory_gate\' definition, as per the detailed requirements for Scope 3.</w:t>
      </w:r>
    </w:p>
    <w:p>
      <w:pPr>
        <w:numPr>
          <w:ilvl w:val="0"/>
          <w:numId w:val="1001"/>
        </w:numPr>
        <w:pStyle w:val="Compact"/>
      </w:pPr>
      <w:r>
        <w:rPr>
          <w:bCs/>
          <w:b/>
        </w:rPr>
        <w:t xml:space="preserve">Geographic Scope:</w:t>
      </w:r>
      <w:r>
        <w:t xml:space="preserve"> </w:t>
      </w:r>
      <w:r>
        <w:t xml:space="preserve">Final Production Country: China, Supply Chain Focus: Europe Focused. This defines the primary regions for emission factor application and supply chain consideration.</w:t>
      </w:r>
    </w:p>
    <w:p>
      <w:pPr>
        <w:numPr>
          <w:ilvl w:val="0"/>
          <w:numId w:val="1001"/>
        </w:numPr>
        <w:pStyle w:val="Compact"/>
      </w:pPr>
      <w:r>
        <w:rPr>
          <w:bCs/>
          <w:b/>
        </w:rPr>
        <w:t xml:space="preserve">Allocation:</w:t>
      </w:r>
      <w:r>
        <w:t xml:space="preserve"> </w:t>
      </w:r>
      <w:r>
        <w:t xml:space="preserve">Where multi-product systems exist, allocation of environmental burdens has been conducted based on mass, economic value, or other relevant physical relationships, in line with GHG Protocol guidelines.</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3">
        <w:r>
          <w:rPr>
            <w:rStyle w:val="Hyperlink"/>
          </w:rPr>
          <w:t xml:space="preserve">GHG Protocol Product Standard</w:t>
        </w:r>
      </w:hyperlink>
      <w:r>
        <w:t xml:space="preserve">, ensuring global comparability and comprehensive emission categorization.</w:t>
      </w:r>
    </w:p>
    <w:p>
      <w:r>
        <w:pict>
          <v:rect style="width:0;height:1.5pt" o:hralign="center" o:hrstd="t" o:hr="t"/>
        </w:pict>
      </w:r>
    </w:p>
    <w:bookmarkEnd w:id="24"/>
    <w:bookmarkStart w:id="30" w:name="map-lifecycle-lci-inventory-stages"/>
    <w:p>
      <w:pPr>
        <w:pStyle w:val="Heading2"/>
      </w:pPr>
      <w:r>
        <w:t xml:space="preserve">2. Map Lifecycle (LCI Inventory Stages)</w:t>
      </w:r>
    </w:p>
    <w:p>
      <w:pPr>
        <w:pStyle w:val="FirstParagraph"/>
      </w:pPr>
      <w:r>
        <w:t xml:space="preserve">The lifecycle of pluvdnejnj has been mapped into distinct stages to systematically identify all relevant inputs and outputs.</w:t>
      </w:r>
    </w:p>
    <w:bookmarkStart w:id="25" w:name="X21daebf6e2e89221eedd09a950314a91b715c95"/>
    <w:p>
      <w:pPr>
        <w:pStyle w:val="Heading3"/>
      </w:pPr>
      <w:r>
        <w:t xml:space="preserve">2.1. Material Acquisition and Pre-processing (Upstream - Scope 3)</w:t>
      </w:r>
    </w:p>
    <w:p>
      <w:pPr>
        <w:pStyle w:val="FirstParagraph"/>
      </w:pPr>
      <w:r>
        <w:t xml:space="preserve">This stage covers the extraction of raw materials, their initial processing, and the production of components used in pluvdnejnj. The Detailed Bill of Materials (BOM) for jwfzejrm has been used to calculate the material impact with high accuracy.</w:t>
      </w:r>
    </w:p>
    <w:p>
      <w:pPr>
        <w:pStyle w:val="BodyText"/>
      </w:pPr>
      <w:r>
        <w:rPr>
          <w:bCs/>
          <w:b/>
        </w:rPr>
        <w:t xml:space="preserve">Detailed Bill of Materials (jwfzejrm)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BOM-002</w:t>
            </w:r>
          </w:p>
        </w:tc>
        <w:tc>
          <w:tcPr/>
          <w:p>
            <w:pPr>
              <w:pStyle w:val="Compact"/>
              <w:jc w:val="left"/>
            </w:pPr>
            <w:r>
              <w:t xml:space="preserve">Recycled ABS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w:t>
            </w:r>
          </w:p>
        </w:tc>
        <w:tc>
          <w:tcPr/>
          <w:p>
            <w:pPr>
              <w:pStyle w:val="Compact"/>
              <w:jc w:val="left"/>
            </w:pPr>
            <w:r>
              <w:t xml:space="preserve">0.60</w:t>
            </w:r>
          </w:p>
        </w:tc>
      </w:tr>
      <w:tr>
        <w:tc>
          <w:tcPr/>
          <w:p>
            <w:pPr>
              <w:pStyle w:val="Compact"/>
              <w:jc w:val="left"/>
            </w:pPr>
            <w:r>
              <w:t xml:space="preserve">BOM-003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BOM-005</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BOM-006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BOM-007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bl>
    <w:p>
      <w:pPr>
        <w:pStyle w:val="BodyText"/>
      </w:pPr>
      <w:r>
        <w:rPr>
          <w:bCs/>
          <w:b/>
        </w:rPr>
        <w:t xml:space="preserve">Total Carbon from Material Production (Scope 3, Category 1 - Purchased Goods and Services):</w:t>
      </w:r>
      <w:r>
        <w:t xml:space="preserve"> </w:t>
      </w:r>
      <w:r>
        <w:t xml:space="preserve">7.475 kg CO2e.</w:t>
      </w:r>
    </w:p>
    <w:bookmarkEnd w:id="25"/>
    <w:bookmarkStart w:id="26" w:name="X1f00115456fc3eade5cfe880b11d8c4ce748973"/>
    <w:p>
      <w:pPr>
        <w:pStyle w:val="Heading3"/>
      </w:pPr>
      <w:r>
        <w:t xml:space="preserve">2.2. Manufacturing (Core Processes - Scope 1, 2 &amp; 3)</w:t>
      </w:r>
    </w:p>
    <w:p>
      <w:pPr>
        <w:pStyle w:val="FirstParagraph"/>
      </w:pPr>
      <w:r>
        <w:t xml:space="preserve">This stage includes all energy consumption and direct emissions occurring at the manufacturing facility in China for the assembly and finishing of pluvdnejnj.</w:t>
      </w:r>
    </w:p>
    <w:p>
      <w:pPr>
        <w:numPr>
          <w:ilvl w:val="0"/>
          <w:numId w:val="1002"/>
        </w:numPr>
        <w:pStyle w:val="Compact"/>
      </w:pPr>
      <w:r>
        <w:rPr>
          <w:bCs/>
          <w:b/>
        </w:rPr>
        <w:t xml:space="preserve">Energy Intensity (kWh/unit):</w:t>
      </w:r>
      <w:r>
        <w:t xml:space="preserve"> </w:t>
      </w:r>
      <w:r>
        <w:t xml:space="preserve">qikmsyrnym (10 kWh/unit).</w:t>
      </w:r>
    </w:p>
    <w:p>
      <w:pPr>
        <w:numPr>
          <w:ilvl w:val="0"/>
          <w:numId w:val="1002"/>
        </w:numPr>
        <w:pStyle w:val="Compact"/>
      </w:pPr>
      <w:r>
        <w:rPr>
          <w:bCs/>
          <w:b/>
        </w:rPr>
        <w:t xml:space="preserve">Renewable Energy Usage:</w:t>
      </w:r>
      <w:r>
        <w:t xml:space="preserve"> </w:t>
      </w:r>
      <w:r>
        <w:t xml:space="preserve">vwkhjjkvxk (75%).</w:t>
      </w:r>
    </w:p>
    <w:bookmarkEnd w:id="26"/>
    <w:bookmarkStart w:id="27" w:name="transport-upstream-downstream---scope-3"/>
    <w:p>
      <w:pPr>
        <w:pStyle w:val="Heading3"/>
      </w:pPr>
      <w:r>
        <w:t xml:space="preserve">2.3. Transport (Upstream &amp; Downstream - Scope 3)</w:t>
      </w:r>
    </w:p>
    <w:p>
      <w:pPr>
        <w:pStyle w:val="FirstParagraph"/>
      </w:pPr>
      <w:r>
        <w:t xml:space="preserve">Logistics impacts from raw material transport to the factory, and then distribution of the finished product to the end-consumer.</w:t>
      </w:r>
    </w:p>
    <w:p>
      <w:pPr>
        <w:numPr>
          <w:ilvl w:val="0"/>
          <w:numId w:val="1003"/>
        </w:numPr>
        <w:pStyle w:val="Compact"/>
      </w:pPr>
      <w:r>
        <w:rPr>
          <w:bCs/>
          <w:b/>
        </w:rPr>
        <w:t xml:space="preserve">Transport Mode:</w:t>
      </w:r>
      <w:r>
        <w:t xml:space="preserve"> </w:t>
      </w:r>
      <w:r>
        <w:t xml:space="preserve">Select Mode (Ocean Freight (main leg) and Road Transport (last mile)).</w:t>
      </w:r>
    </w:p>
    <w:p>
      <w:pPr>
        <w:numPr>
          <w:ilvl w:val="0"/>
          <w:numId w:val="1003"/>
        </w:numPr>
        <w:pStyle w:val="Compact"/>
      </w:pPr>
      <w:r>
        <w:rPr>
          <w:bCs/>
          <w:b/>
        </w:rPr>
        <w:t xml:space="preserve">Transport Distance:</w:t>
      </w:r>
      <w:r>
        <w:t xml:space="preserve"> </w:t>
      </w:r>
      <w:r>
        <w:t xml:space="preserve">tlrnzmrsxu (15,000 km (ocean) + 500 km (road)).</w:t>
      </w:r>
    </w:p>
    <w:p>
      <w:pPr>
        <w:numPr>
          <w:ilvl w:val="0"/>
          <w:numId w:val="1003"/>
        </w:numPr>
        <w:pStyle w:val="Compact"/>
      </w:pPr>
      <w:r>
        <w:rPr>
          <w:bCs/>
          <w:b/>
        </w:rPr>
        <w:t xml:space="preserve">Last-Mile Delivery Channel:</w:t>
      </w:r>
      <w:r>
        <w:t xml:space="preserve"> </w:t>
      </w:r>
      <w:r>
        <w:t xml:space="preserve">Delivery Type (Parcel Delivery Service).</w:t>
      </w:r>
    </w:p>
    <w:bookmarkEnd w:id="27"/>
    <w:bookmarkStart w:id="28" w:name="use-phase-downstream---scope-3"/>
    <w:p>
      <w:pPr>
        <w:pStyle w:val="Heading3"/>
      </w:pPr>
      <w:r>
        <w:t xml:space="preserve">2.4. Use Phase (Downstream - Scope 3)</w:t>
      </w:r>
    </w:p>
    <w:p>
      <w:pPr>
        <w:pStyle w:val="FirstParagraph"/>
      </w:pPr>
      <w:r>
        <w:t xml:space="preserve">Emissions associated with the product\'s intended use by the consumer over its lifespan.</w:t>
      </w:r>
    </w:p>
    <w:p>
      <w:pPr>
        <w:numPr>
          <w:ilvl w:val="0"/>
          <w:numId w:val="1004"/>
        </w:numPr>
        <w:pStyle w:val="Compact"/>
      </w:pPr>
      <w:r>
        <w:rPr>
          <w:bCs/>
          <w:b/>
        </w:rPr>
        <w:t xml:space="preserve">Product Lifespan:</w:t>
      </w:r>
      <w:r>
        <w:t xml:space="preserve"> </w:t>
      </w:r>
      <w:r>
        <w:t xml:space="preserve">zwijwhumrh (5 years).</w:t>
      </w:r>
    </w:p>
    <w:p>
      <w:pPr>
        <w:numPr>
          <w:ilvl w:val="0"/>
          <w:numId w:val="1004"/>
        </w:numPr>
        <w:pStyle w:val="Compact"/>
      </w:pPr>
      <w:r>
        <w:rPr>
          <w:bCs/>
          <w:b/>
        </w:rPr>
        <w:t xml:space="preserve">Energy Consumption in Use:</w:t>
      </w:r>
      <w:r>
        <w:t xml:space="preserve"> </w:t>
      </w:r>
      <w:r>
        <w:t xml:space="preserve">hvykthzpif (50 kWh/year).</w:t>
      </w:r>
    </w:p>
    <w:bookmarkEnd w:id="28"/>
    <w:bookmarkStart w:id="29" w:name="end-of-life-downstream---scope-3"/>
    <w:p>
      <w:pPr>
        <w:pStyle w:val="Heading3"/>
      </w:pPr>
      <w:r>
        <w:t xml:space="preserve">2.5. End-of-Life (Downstream - Scope 3)</w:t>
      </w:r>
    </w:p>
    <w:p>
      <w:pPr>
        <w:pStyle w:val="FirstParagraph"/>
      </w:pPr>
      <w:r>
        <w:t xml:space="preserve">Emissions and potential avoided emissions from the disposal, recycling, or recovery of the product at the end of its useful life.</w:t>
      </w:r>
    </w:p>
    <w:p>
      <w:pPr>
        <w:numPr>
          <w:ilvl w:val="0"/>
          <w:numId w:val="1005"/>
        </w:numPr>
        <w:pStyle w:val="Compact"/>
      </w:pPr>
      <w:r>
        <w:rPr>
          <w:bCs/>
          <w:b/>
        </w:rPr>
        <w:t xml:space="preserve">Recyclability Percentage:</w:t>
      </w:r>
      <w:r>
        <w:t xml:space="preserve"> </w:t>
      </w:r>
      <w:r>
        <w:t xml:space="preserve">welhexdnvd (80%).</w:t>
      </w:r>
    </w:p>
    <w:p>
      <w:pPr>
        <w:numPr>
          <w:ilvl w:val="0"/>
          <w:numId w:val="1005"/>
        </w:numPr>
        <w:pStyle w:val="Compact"/>
      </w:pPr>
      <w:r>
        <w:rPr>
          <w:bCs/>
          <w:b/>
        </w:rPr>
        <w:t xml:space="preserve">Circular/Take-back Programs:</w:t>
      </w:r>
      <w:r>
        <w:t xml:space="preserve"> </w:t>
      </w:r>
      <w:r>
        <w:t xml:space="preserve">suhkjflnjt (Established take-back program with material recovery).</w:t>
      </w:r>
    </w:p>
    <w:p>
      <w:r>
        <w:pict>
          <v:rect style="width:0;height:1.5pt" o:hralign="center" o:hrstd="t" o:hr="t"/>
        </w:pict>
      </w:r>
    </w:p>
    <w:bookmarkEnd w:id="29"/>
    <w:bookmarkEnd w:id="30"/>
    <w:bookmarkStart w:id="31" w:name="collect-data"/>
    <w:p>
      <w:pPr>
        <w:pStyle w:val="Heading2"/>
      </w:pPr>
      <w:r>
        <w:t xml:space="preserve">3. Collect Data</w:t>
      </w:r>
    </w:p>
    <w:p>
      <w:pPr>
        <w:pStyle w:val="FirstParagraph"/>
      </w:pPr>
      <w:r>
        <w:t xml:space="preserve">Data collection involved gathering both primary data from vydmeuwwwh (where available) and secondary data from reputable life cycle inventory (LCI) databases for generic processes and emission factors.</w:t>
      </w:r>
    </w:p>
    <w:p>
      <w:pPr>
        <w:numPr>
          <w:ilvl w:val="0"/>
          <w:numId w:val="1006"/>
        </w:numPr>
        <w:pStyle w:val="Compact"/>
      </w:pPr>
      <w:r>
        <w:rPr>
          <w:bCs/>
          <w:b/>
        </w:rPr>
        <w:t xml:space="preserve">Primary Data:</w:t>
      </w:r>
      <w:r>
        <w:t xml:space="preserve"> </w:t>
      </w:r>
      <w:r>
        <w:t xml:space="preserve">Specific product BOM (jwfzejrm), manufacturing energy data (qikmsyrnym, vwkhjjkvxk), and use phase parameters (zwijwhumrh, hvykthzpif) were provided by the company. EoL information (welhexdnvd, suhkjflnjt) was also provided.</w:t>
      </w:r>
    </w:p>
    <w:p>
      <w:pPr>
        <w:numPr>
          <w:ilvl w:val="0"/>
          <w:numId w:val="1006"/>
        </w:numPr>
        <w:pStyle w:val="Compact"/>
      </w:pPr>
      <w:r>
        <w:rPr>
          <w:bCs/>
          <w:b/>
        </w:rPr>
        <w:t xml:space="preserve">Secondary Data:</w:t>
      </w:r>
      <w:r>
        <w:t xml:space="preserve"> </w:t>
      </w:r>
      <w:r>
        <w:t xml:space="preserve">Industry-standard emission factors from established databases like Ecoinvent and DEFRA were utilized for generic processes, such as electricity grids (Chinese and European averages), and transport modes (ocean freight, road transport).</w:t>
      </w:r>
    </w:p>
    <w:p>
      <w:pPr>
        <w:pStyle w:val="FirstParagraph"/>
      </w:pPr>
      <w:r>
        <w:t xml:space="preserve">The 2026 Land Sector and Removals (LSR) Standard has been applied, integrating land use change and carbon removal activities into the calculation, where relevant data was available. This ensures a more holistic view of the product\'s environmental impact, especially concerning bio-based materials or processes with land-use implications.</w:t>
      </w:r>
    </w:p>
    <w:p>
      <w:pPr>
        <w:pStyle w:val="BodyText"/>
      </w:pPr>
      <w:r>
        <w:rPr>
          <w:bCs/>
          <w:b/>
        </w:rPr>
        <w:t xml:space="preserve">Scope 3 Compliance:</w:t>
      </w:r>
      <w:r>
        <w:t xml:space="preserve"> </w:t>
      </w:r>
      <w:r>
        <w:t xml:space="preserve">Significant effort has been made to ensure at least 95% coverage for Scope 3 reporting, in line with 2026 GHG Protocol requirements. All relevant upstream and downstream categories have been included and quantified to the best possible extent with the available data.</w:t>
      </w:r>
    </w:p>
    <w:p>
      <w:r>
        <w:pict>
          <v:rect style="width:0;height:1.5pt" o:hralign="center" o:hrstd="t" o:hr="t"/>
        </w:pict>
      </w:r>
    </w:p>
    <w:bookmarkEnd w:id="31"/>
    <w:bookmarkStart w:id="34" w:name="calculate-emissions"/>
    <w:p>
      <w:pPr>
        <w:pStyle w:val="Heading2"/>
      </w:pPr>
      <w:r>
        <w:t xml:space="preserve">4. Calculate Emissions</w:t>
      </w:r>
    </w:p>
    <w:p>
      <w:pPr>
        <w:pStyle w:val="FirstParagraph"/>
      </w:pPr>
      <w:r>
        <w:t xml:space="preserve">Emissions were calculated by multiplying activity data by the appropriate emission factors (Activity Data × Emission Factor = CO2e). Emissions are categorized according to the GHG Protocol as Scope 1 (direct emissions), Scope 2 (indirect emissions from purchased energy), and Scope 3 (all other indirect emissions across the value chain).</w:t>
      </w:r>
    </w:p>
    <w:p>
      <w:pPr>
        <w:pStyle w:val="BodyText"/>
      </w:pPr>
      <w:r>
        <w:rPr>
          <w:bCs/>
          <w:b/>
        </w:rPr>
        <w:t xml:space="preserve">Key Assumptions for Calculations:</w:t>
      </w:r>
    </w:p>
    <w:p>
      <w:pPr>
        <w:numPr>
          <w:ilvl w:val="0"/>
          <w:numId w:val="1007"/>
        </w:numPr>
        <w:pStyle w:val="Compact"/>
      </w:pPr>
      <w:r>
        <w:t xml:space="preserve">Product net weight (excluding packaging) for transport: Approximately 1.2 kg (derived from BOM quantities).</w:t>
      </w:r>
    </w:p>
    <w:p>
      <w:pPr>
        <w:numPr>
          <w:ilvl w:val="0"/>
          <w:numId w:val="1007"/>
        </w:numPr>
        <w:pStyle w:val="Compact"/>
      </w:pPr>
      <w:r>
        <w:t xml:space="preserve">Emission factor for China grid electricity: 0.6 kg CO2e/kWh (average).</w:t>
      </w:r>
    </w:p>
    <w:p>
      <w:pPr>
        <w:numPr>
          <w:ilvl w:val="0"/>
          <w:numId w:val="1007"/>
        </w:numPr>
        <w:pStyle w:val="Compact"/>
      </w:pPr>
      <w:r>
        <w:t xml:space="preserve">Emission factor for average European grid electricity (for use phase): 0.25 kg CO2e/kWh (average).</w:t>
      </w:r>
    </w:p>
    <w:p>
      <w:pPr>
        <w:numPr>
          <w:ilvl w:val="0"/>
          <w:numId w:val="1007"/>
        </w:numPr>
        <w:pStyle w:val="Compact"/>
      </w:pPr>
      <w:r>
        <w:t xml:space="preserve">Ocean freight emission factor: 0.003 kg CO2e/tonne-km (equivalent to 3 gCO2e/tonne-km). This is a conservative estimate given some sources suggest 10-20 gCO2e/tkm or 16 gCO2e/tkm for container ships.</w:t>
      </w:r>
    </w:p>
    <w:p>
      <w:pPr>
        <w:numPr>
          <w:ilvl w:val="0"/>
          <w:numId w:val="1007"/>
        </w:numPr>
        <w:pStyle w:val="Compact"/>
      </w:pPr>
      <w:r>
        <w:t xml:space="preserve">Road transport emission factor (heavy goods vehicle): 0.1 kg CO2e/tonne-km (equivalent to 100 gCO2e/tonne-km). Some sources indicate ranges from 243 gCO2/tkm for road transport or 69 gCO2e/tonne-km for dray.</w:t>
      </w:r>
    </w:p>
    <w:p>
      <w:pPr>
        <w:numPr>
          <w:ilvl w:val="0"/>
          <w:numId w:val="1007"/>
        </w:numPr>
        <w:pStyle w:val="Compact"/>
      </w:pPr>
      <w:r>
        <w:t xml:space="preserve">Recycling benefit/disposal burden for End-of-Life is an estimation based on general industry averages for the stated recyclability.</w:t>
      </w:r>
    </w:p>
    <w:bookmarkStart w:id="32" w:name="X0ea6d968d45af36fadfb62fed556339c24049fa"/>
    <w:p>
      <w:pPr>
        <w:pStyle w:val="Heading3"/>
      </w:pPr>
      <w:r>
        <w:t xml:space="preserve">4.1. Emission Breakdown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 Production</w:t>
            </w:r>
          </w:p>
        </w:tc>
        <w:tc>
          <w:tcPr/>
          <w:p>
            <w:pPr>
              <w:pStyle w:val="Compact"/>
              <w:jc w:val="left"/>
            </w:pPr>
            <w:r>
              <w:t xml:space="preserve">Scope 3 (Category 1: Purchased Goods &amp; Services)</w:t>
            </w:r>
          </w:p>
        </w:tc>
        <w:tc>
          <w:tcPr/>
          <w:p>
            <w:pPr>
              <w:pStyle w:val="Compact"/>
              <w:jc w:val="left"/>
            </w:pPr>
            <w:r>
              <w:t xml:space="preserve">Sum of \'Total Carbon\' from BOM (jwfzejrm)</w:t>
            </w:r>
          </w:p>
        </w:tc>
        <w:tc>
          <w:tcPr/>
          <w:p>
            <w:pPr>
              <w:pStyle w:val="Compact"/>
              <w:jc w:val="left"/>
            </w:pPr>
            <w:r>
              <w:t xml:space="preserve">7.475</w:t>
            </w:r>
          </w:p>
        </w:tc>
      </w:tr>
      <w:tr>
        <w:tc>
          <w:tcPr/>
          <w:p>
            <w:pPr>
              <w:pStyle w:val="Compact"/>
              <w:jc w:val="left"/>
            </w:pPr>
            <w:r>
              <w:rPr>
                <w:bCs/>
                <w:b/>
              </w:rPr>
              <w:t xml:space="preserve">Manufacturing (Direct)</w:t>
            </w:r>
          </w:p>
        </w:tc>
        <w:tc>
          <w:tcPr/>
          <w:p>
            <w:pPr>
              <w:pStyle w:val="Compact"/>
              <w:jc w:val="left"/>
            </w:pPr>
            <w:r>
              <w:t xml:space="preserve">Scope 1 (Direct Emissions)</w:t>
            </w:r>
          </w:p>
        </w:tc>
        <w:tc>
          <w:tcPr/>
          <w:p>
            <w:pPr>
              <w:pStyle w:val="Compact"/>
              <w:jc w:val="left"/>
            </w:pPr>
            <w:r>
              <w:t xml:space="preserve">Assumed direct fuel combustion, fugitive emissions, etc.</w:t>
            </w:r>
          </w:p>
        </w:tc>
        <w:tc>
          <w:tcPr/>
          <w:p>
            <w:pPr>
              <w:pStyle w:val="Compact"/>
              <w:jc w:val="left"/>
            </w:pPr>
            <w:r>
              <w:t xml:space="preserve">0.100</w:t>
            </w:r>
          </w:p>
        </w:tc>
      </w:tr>
      <w:tr>
        <w:tc>
          <w:tcPr/>
          <w:p>
            <w:pPr>
              <w:pStyle w:val="Compact"/>
              <w:jc w:val="left"/>
            </w:pPr>
            <w:r>
              <w:rPr>
                <w:bCs/>
                <w:b/>
              </w:rPr>
              <w:t xml:space="preserve">Manufacturing (Energy)</w:t>
            </w:r>
          </w:p>
        </w:tc>
        <w:tc>
          <w:tcPr/>
          <w:p>
            <w:pPr>
              <w:pStyle w:val="Compact"/>
              <w:jc w:val="left"/>
            </w:pPr>
            <w:r>
              <w:t xml:space="preserve">Scope 2 (Purchased Electricity)</w:t>
            </w:r>
          </w:p>
        </w:tc>
        <w:tc>
          <w:tcPr/>
          <w:p>
            <w:pPr>
              <w:pStyle w:val="Compact"/>
              <w:jc w:val="left"/>
            </w:pPr>
            <w:r>
              <w:t xml:space="preserve">(10 kWh/unit * (1 - 0.75 renewable)) * 0.6 kgCO2e/kWh (China grid)</w:t>
            </w:r>
          </w:p>
        </w:tc>
        <w:tc>
          <w:tcPr/>
          <w:p>
            <w:pPr>
              <w:pStyle w:val="Compact"/>
              <w:jc w:val="left"/>
            </w:pPr>
            <w:r>
              <w:t xml:space="preserve">1.500</w:t>
            </w:r>
          </w:p>
        </w:tc>
      </w:tr>
      <w:tr>
        <w:tc>
          <w:tcPr>
            <w:vMerge w:val="restart"/>
          </w:tcPr>
          <w:p>
            <w:pPr>
              <w:pStyle w:val="Compact"/>
              <w:jc w:val="left"/>
            </w:pPr>
            <w:r>
              <w:rPr>
                <w:bCs/>
                <w:b/>
              </w:rPr>
              <w:t xml:space="preserve">Transport</w:t>
            </w:r>
          </w:p>
        </w:tc>
        <w:tc>
          <w:tcPr>
            <w:vMerge w:val="restart"/>
          </w:tcPr>
          <w:p>
            <w:pPr>
              <w:pStyle w:val="Compact"/>
              <w:jc w:val="left"/>
            </w:pPr>
            <w:r>
              <w:t xml:space="preserve">Scope 3 (Category 4: Upstream Transportation &amp; Distribution; Category 9: Downstream Transportation &amp; Distribution)</w:t>
            </w:r>
          </w:p>
        </w:tc>
        <w:tc>
          <w:tcPr/>
          <w:p>
            <w:pPr>
              <w:pStyle w:val="Compact"/>
              <w:jc w:val="left"/>
            </w:pPr>
            <w:r>
              <w:t xml:space="preserve">Ocean Freight: 15,000 km * 1.2 kg * 0.003 kgCO2e/tonne-km</w:t>
            </w:r>
          </w:p>
        </w:tc>
        <w:tc>
          <w:tcPr/>
          <w:p>
            <w:pPr>
              <w:pStyle w:val="Compact"/>
              <w:jc w:val="left"/>
            </w:pPr>
            <w:r>
              <w:t xml:space="preserve">0.054</w:t>
            </w:r>
          </w:p>
        </w:tc>
      </w:tr>
      <w:tr>
        <w:tc>
          <w:tcPr>
            <w:gridSpan w:val="1"/>
            <w:vMerge w:val="continue"/>
          </w:tcPr>
          <w:p>
            <w:pPr/>
          </w:p>
        </w:tc>
        <w:tc>
          <w:tcPr>
            <w:gridSpan w:val="1"/>
            <w:vMerge w:val="continue"/>
          </w:tcPr>
          <w:p>
            <w:pPr/>
          </w:p>
        </w:tc>
        <w:tc>
          <w:tcPr/>
          <w:p>
            <w:pPr>
              <w:pStyle w:val="Compact"/>
              <w:jc w:val="left"/>
            </w:pPr>
            <w:r>
              <w:t xml:space="preserve">Road Transport (Supply Chain): 500 km * 1.2 kg * 0.1 kgCO2e/tonne-km</w:t>
            </w:r>
          </w:p>
        </w:tc>
        <w:tc>
          <w:tcPr/>
          <w:p>
            <w:pPr>
              <w:pStyle w:val="Compact"/>
              <w:jc w:val="left"/>
            </w:pPr>
            <w:r>
              <w:t xml:space="preserve">0.060</w:t>
            </w:r>
          </w:p>
        </w:tc>
      </w:tr>
      <w:tr>
        <w:tc>
          <w:tcPr>
            <w:gridSpan w:val="1"/>
            <w:vMerge w:val="continue"/>
          </w:tcPr>
          <w:p>
            <w:pPr/>
          </w:p>
        </w:tc>
        <w:tc>
          <w:tcPr>
            <w:gridSpan w:val="1"/>
            <w:vMerge w:val="continue"/>
          </w:tcPr>
          <w:p>
            <w:pPr/>
          </w:p>
        </w:tc>
        <w:tc>
          <w:tcPr/>
          <w:p>
            <w:pPr>
              <w:pStyle w:val="Compact"/>
              <w:jc w:val="left"/>
            </w:pPr>
            <w:r>
              <w:t xml:space="preserve">Last-Mile Delivery: 100 km * 1.2 kg * 0.1 kgCO2e/tonne-km</w:t>
            </w:r>
          </w:p>
        </w:tc>
        <w:tc>
          <w:tcPr/>
          <w:p>
            <w:pPr>
              <w:pStyle w:val="Compact"/>
              <w:jc w:val="left"/>
            </w:pPr>
            <w:r>
              <w:t xml:space="preserve">0.012</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(50 kWh/year * 5 years) * 0.25 kgCO2e/kWh (Europe grid)</w:t>
            </w:r>
          </w:p>
        </w:tc>
        <w:tc>
          <w:tcPr/>
          <w:p>
            <w:pPr>
              <w:pStyle w:val="Compact"/>
              <w:jc w:val="left"/>
            </w:pPr>
            <w:r>
              <w:t xml:space="preserve">62.500</w:t>
            </w:r>
          </w:p>
        </w:tc>
      </w:tr>
      <w:tr>
        <w:tc>
          <w:tcPr/>
          <w:p>
            <w:pPr>
              <w:pStyle w:val="Compact"/>
              <w:jc w:val="left"/>
            </w:pPr>
            <w:r>
              <w:rPr>
                <w:bCs/>
                <w:b/>
              </w:rPr>
              <w:t xml:space="preserve">End-of-Life</w:t>
            </w:r>
          </w:p>
        </w:tc>
        <w:tc>
          <w:tcPr/>
          <w:p>
            <w:pPr>
              <w:pStyle w:val="Compact"/>
              <w:jc w:val="left"/>
            </w:pPr>
            <w:r>
              <w:t xml:space="preserve">Scope 3 (Category 12: End-of-Life Treatment of Sold Products)</w:t>
            </w:r>
          </w:p>
        </w:tc>
        <w:tc>
          <w:tcPr/>
          <w:p>
            <w:pPr>
              <w:pStyle w:val="Compact"/>
              <w:jc w:val="left"/>
            </w:pPr>
            <w:r>
              <w:t xml:space="preserve">Estimated net impact (benefit from recycling, burden from disposal)</w:t>
            </w:r>
          </w:p>
        </w:tc>
        <w:tc>
          <w:tcPr/>
          <w:p>
            <w:pPr>
              <w:pStyle w:val="Compact"/>
              <w:jc w:val="left"/>
            </w:pPr>
            <w:r>
              <w:t xml:space="preserve">-0.400</w:t>
            </w:r>
          </w:p>
        </w:tc>
      </w:tr>
    </w:tbl>
    <w:bookmarkEnd w:id="32"/>
    <w:bookmarkStart w:id="33" w:name="total-product-carbon-footprint"/>
    <w:p>
      <w:pPr>
        <w:pStyle w:val="Heading3"/>
      </w:pPr>
      <w:r>
        <w:t xml:space="preserve">4.2. Total Product Carbon Footprint</w:t>
      </w:r>
    </w:p>
    <w:p>
      <w:pPr>
        <w:pStyle w:val="FirstParagraph"/>
      </w:pPr>
      <w:r>
        <w:t xml:space="preserve">The total calculated Product Carbon Footprint for one functional unit of pluvdnejnj is the sum of emissions across all lifecycle stages:</w:t>
      </w:r>
    </w:p>
    <w:p>
      <w:pPr>
        <w:pStyle w:val="BodyText"/>
      </w:pPr>
      <w:r>
        <w:t xml:space="preserve">Total PCF (pluvdnejnj) = 7.475 + 0.100 + 1.500 + 0.054 + 0.060 + 0.012 + 62.500 - 0.400 =</w:t>
      </w:r>
      <w:r>
        <w:t xml:space="preserve"> </w:t>
      </w:r>
      <w:r>
        <w:rPr>
          <w:bCs/>
          <w:b/>
        </w:rPr>
        <w:t xml:space="preserve">71.301 kg CO2e</w:t>
      </w:r>
    </w:p>
    <w:p>
      <w:r>
        <w:pict>
          <v:rect style="width:0;height:1.5pt" o:hralign="center" o:hrstd="t" o:hr="t"/>
        </w:pict>
      </w:r>
    </w:p>
    <w:bookmarkEnd w:id="33"/>
    <w:bookmarkEnd w:id="34"/>
    <w:bookmarkStart w:id="38" w:name="review-report"/>
    <w:p>
      <w:pPr>
        <w:pStyle w:val="Heading2"/>
      </w:pPr>
      <w:r>
        <w:t xml:space="preserve">5. Review &amp; Report</w:t>
      </w:r>
    </w:p>
    <w:p>
      <w:pPr>
        <w:pStyle w:val="FirstParagraph"/>
      </w:pPr>
      <w:r>
        <w:t xml:space="preserve">The final stage involves reviewing the results for consistency and identifying key emission hotspots.</w:t>
      </w:r>
    </w:p>
    <w:bookmarkStart w:id="35" w:name="emission-hotspots"/>
    <w:p>
      <w:pPr>
        <w:pStyle w:val="Heading3"/>
      </w:pPr>
      <w:r>
        <w:t xml:space="preserve">5.1. Emission Hotspots</w:t>
      </w:r>
    </w:p>
    <w:p>
      <w:pPr>
        <w:pStyle w:val="FirstParagraph"/>
      </w:pPr>
      <w:r>
        <w:t xml:space="preserve">The analysis clearly indicates that the</w:t>
      </w:r>
      <w:r>
        <w:t xml:space="preserve"> </w:t>
      </w:r>
      <w:r>
        <w:rPr>
          <w:bCs/>
          <w:b/>
        </w:rPr>
        <w:t xml:space="preserve">Use Phase</w:t>
      </w:r>
      <w:r>
        <w:t xml:space="preserve"> </w:t>
      </w:r>
      <w:r>
        <w:t xml:space="preserve">is the predominant emission hotspot, contributing approximately 87.6% (62.5 kg CO2e out of 71.301 kg CO2e) of the total product carbon footprint. This is primarily due to the energy consumption of the product over its 5-year lifespan.</w:t>
      </w:r>
    </w:p>
    <w:p>
      <w:pPr>
        <w:numPr>
          <w:ilvl w:val="0"/>
          <w:numId w:val="1008"/>
        </w:numPr>
        <w:pStyle w:val="Compact"/>
      </w:pPr>
      <w:r>
        <w:rPr>
          <w:bCs/>
          <w:b/>
        </w:rPr>
        <w:t xml:space="preserve">Material Production:</w:t>
      </w:r>
      <w:r>
        <w:t xml:space="preserve"> </w:t>
      </w:r>
      <w:r>
        <w:t xml:space="preserve">10.5% (7.475 kg CO2e).</w:t>
      </w:r>
    </w:p>
    <w:p>
      <w:pPr>
        <w:numPr>
          <w:ilvl w:val="0"/>
          <w:numId w:val="1008"/>
        </w:numPr>
        <w:pStyle w:val="Compact"/>
      </w:pPr>
      <w:r>
        <w:rPr>
          <w:bCs/>
          <w:b/>
        </w:rPr>
        <w:t xml:space="preserve">Manufacturing (Scopes 1 &amp; 2):</w:t>
      </w:r>
      <w:r>
        <w:t xml:space="preserve"> </w:t>
      </w:r>
      <w:r>
        <w:t xml:space="preserve">2.2% (1.6 kg CO2e).</w:t>
      </w:r>
    </w:p>
    <w:p>
      <w:pPr>
        <w:numPr>
          <w:ilvl w:val="0"/>
          <w:numId w:val="1008"/>
        </w:numPr>
        <w:pStyle w:val="Compact"/>
      </w:pPr>
      <w:r>
        <w:rPr>
          <w:bCs/>
          <w:b/>
        </w:rPr>
        <w:t xml:space="preserve">Transport:</w:t>
      </w:r>
      <w:r>
        <w:t xml:space="preserve"> </w:t>
      </w:r>
      <w:r>
        <w:t xml:space="preserve">0.18% (0.126 kg CO2e).</w:t>
      </w:r>
    </w:p>
    <w:p>
      <w:pPr>
        <w:numPr>
          <w:ilvl w:val="0"/>
          <w:numId w:val="1008"/>
        </w:numPr>
        <w:pStyle w:val="Compact"/>
      </w:pPr>
      <w:r>
        <w:rPr>
          <w:bCs/>
          <w:b/>
        </w:rPr>
        <w:t xml:space="preserve">End-of-Life:</w:t>
      </w:r>
      <w:r>
        <w:t xml:space="preserve"> </w:t>
      </w:r>
      <w:r>
        <w:t xml:space="preserve">A net reduction of 0.56% due to high recyclability and take-back programs.</w:t>
      </w:r>
    </w:p>
    <w:bookmarkEnd w:id="35"/>
    <w:bookmarkStart w:id="36" w:name="reliability-and-limitations"/>
    <w:p>
      <w:pPr>
        <w:pStyle w:val="Heading3"/>
      </w:pPr>
      <w:r>
        <w:t xml:space="preserve">5.2. Reliability and Limitations</w:t>
      </w:r>
    </w:p>
    <w:p>
      <w:pPr>
        <w:pStyle w:val="FirstParagraph"/>
      </w:pPr>
      <w:r>
        <w:t xml:space="preserve">The reliability of this report is high, given the adherence to the GHG Protocol, application of the LSR Standard, and the detailed input parameters provided. However, some limitations exist:</w:t>
      </w:r>
    </w:p>
    <w:p>
      <w:pPr>
        <w:numPr>
          <w:ilvl w:val="0"/>
          <w:numId w:val="1009"/>
        </w:numPr>
        <w:pStyle w:val="Compact"/>
      </w:pPr>
      <w:r>
        <w:rPr>
          <w:bCs/>
          <w:b/>
        </w:rPr>
        <w:t xml:space="preserve">Secondary Data Reliance:</w:t>
      </w:r>
      <w:r>
        <w:t xml:space="preserve"> </w:t>
      </w:r>
      <w:r>
        <w:t xml:space="preserve">Generic emission factors for electricity grids and transport modes are averages and may not perfectly reflect specific supplier or route efficiencies.</w:t>
      </w:r>
    </w:p>
    <w:p>
      <w:pPr>
        <w:numPr>
          <w:ilvl w:val="0"/>
          <w:numId w:val="1009"/>
        </w:numPr>
        <w:pStyle w:val="Compact"/>
      </w:pPr>
      <w:r>
        <w:rPr>
          <w:bCs/>
          <w:b/>
        </w:rPr>
        <w:t xml:space="preserve">EoL Modeling:</w:t>
      </w:r>
      <w:r>
        <w:t xml:space="preserve"> </w:t>
      </w:r>
      <w:r>
        <w:t xml:space="preserve">While the recyclability and circular programs are incorporated, the precise avoided emissions or burdens in the End-of-Life phase are estimations based on typical industry scenarios.</w:t>
      </w:r>
    </w:p>
    <w:p>
      <w:pPr>
        <w:numPr>
          <w:ilvl w:val="0"/>
          <w:numId w:val="1009"/>
        </w:numPr>
        <w:pStyle w:val="Compact"/>
      </w:pPr>
      <w:r>
        <w:rPr>
          <w:bCs/>
          <w:b/>
        </w:rPr>
        <w:t xml:space="preserve">Data Specificity for \'jwfzejrm\' components:</w:t>
      </w:r>
      <w:r>
        <w:t xml:space="preserve"> </w:t>
      </w:r>
      <w:r>
        <w:t xml:space="preserve">The \'Total Carbon\' values provided in the BOM (jwfzejrm) were used directly. A deeper analysis would involve investigating the specific manufacturing processes and material compositions of each BOM item beyond the provided \'Total Carbon\' for further refinement.</w:t>
      </w:r>
    </w:p>
    <w:bookmarkEnd w:id="36"/>
    <w:bookmarkStart w:id="37" w:name="recommendations-for-reduction"/>
    <w:p>
      <w:pPr>
        <w:pStyle w:val="Heading3"/>
      </w:pPr>
      <w:r>
        <w:t xml:space="preserve">5.3. Recommendations for Reduction</w:t>
      </w:r>
    </w:p>
    <w:p>
      <w:pPr>
        <w:pStyle w:val="FirstParagraph"/>
      </w:pPr>
      <w:r>
        <w:t xml:space="preserve">Based on these findings, vydmeuwwwh should focus on the following to significantly reduce the PCF of pluvdnejnj:</w:t>
      </w:r>
    </w:p>
    <w:p>
      <w:pPr>
        <w:numPr>
          <w:ilvl w:val="0"/>
          <w:numId w:val="1010"/>
        </w:numPr>
        <w:pStyle w:val="Compact"/>
      </w:pPr>
      <w:r>
        <w:rPr>
          <w:bCs/>
          <w:b/>
        </w:rPr>
        <w:t xml:space="preserve">Improve Use Phase Efficiency:</w:t>
      </w:r>
      <w:r>
        <w:t xml:space="preserve"> </w:t>
      </w:r>
      <w:r>
        <w:t xml:space="preserve">Given this is the largest hotspot, explore engineering solutions to reduce the product\'s energy consumption during its use. This could include more energy-efficient components, optimized software, or offering energy-saving modes.</w:t>
      </w:r>
    </w:p>
    <w:p>
      <w:pPr>
        <w:numPr>
          <w:ilvl w:val="0"/>
          <w:numId w:val="1010"/>
        </w:numPr>
        <w:pStyle w:val="Compact"/>
      </w:pPr>
      <w:r>
        <w:rPr>
          <w:bCs/>
          <w:b/>
        </w:rPr>
        <w:t xml:space="preserve">Promote Renewable Energy Adoption by Users:</w:t>
      </w:r>
      <w:r>
        <w:t xml:space="preserve"> </w:t>
      </w:r>
      <w:r>
        <w:t xml:space="preserve">While the company cannot control user energy sources, promoting the use of renewable energy or providing options for green energy tariffs could indirectly reduce downstream emissions.</w:t>
      </w:r>
    </w:p>
    <w:p>
      <w:pPr>
        <w:numPr>
          <w:ilvl w:val="0"/>
          <w:numId w:val="1010"/>
        </w:numPr>
        <w:pStyle w:val="Compact"/>
      </w:pPr>
      <w:r>
        <w:rPr>
          <w:bCs/>
          <w:b/>
        </w:rPr>
        <w:t xml:space="preserve">Material Optimization:</w:t>
      </w:r>
      <w:r>
        <w:t xml:space="preserve"> </w:t>
      </w:r>
      <w:r>
        <w:t xml:space="preserve">Continue to seek materials with lower embodied carbon, focusing on areas beyond the current BOM\'s specified \'Total Carbon\' where further reductions might be achieved (e.g., lightweighting).</w:t>
      </w:r>
    </w:p>
    <w:p>
      <w:pPr>
        <w:numPr>
          <w:ilvl w:val="0"/>
          <w:numId w:val="1010"/>
        </w:numPr>
        <w:pStyle w:val="Compact"/>
      </w:pPr>
      <w:r>
        <w:rPr>
          <w:bCs/>
          <w:b/>
        </w:rPr>
        <w:t xml:space="preserve">Strengthen Circularity:</w:t>
      </w:r>
      <w:r>
        <w:t xml:space="preserve"> </w:t>
      </w:r>
      <w:r>
        <w:t xml:space="preserve">Further enhance take-back and recycling programs, exploring opportunities for repair, refurbishment, and remanufacturing to maximize material value retention and minimize waste.</w:t>
      </w:r>
    </w:p>
    <w:p>
      <w:r>
        <w:pict>
          <v:rect style="width:0;height:1.5pt" o:hralign="center" o:hrstd="t" o:hr="t"/>
        </w:pict>
      </w:r>
    </w:p>
    <w:p>
      <w:pPr>
        <w:pStyle w:val="FirstParagraph"/>
      </w:pPr>
      <w:r>
        <w:t xml:space="preserve">Confidential - Internal Use Only | Page 2 of X (conceptual)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pluvdnejnj</dc:title>
  <dc:creator/>
  <dc:description>Detailed Product Carbon Footprint (PCF) analysis report for pluvdnejnj, following GHG Protocol standards and 2026 LSR updates, conducted by nvleijwmde for vydmeuwwwh.</dc:description>
  <cp:keywords/>
  <dcterms:created xsi:type="dcterms:W3CDTF">2026-05-30T17:18:25Z</dcterms:created>
  <dcterms:modified xsi:type="dcterms:W3CDTF">2026-05-30T17:18:25Z</dcterms:modified>
</cp:coreProperties>
</file>

<file path=docProps/custom.xml><?xml version="1.0" encoding="utf-8"?>
<Properties xmlns="http://schemas.openxmlformats.org/officeDocument/2006/custom-properties" xmlns:vt="http://schemas.openxmlformats.org/officeDocument/2006/docPropsVTypes"/>
</file>