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pkowyowozt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pkowyowozt</w:t>
      </w:r>
    </w:p>
    <w:p>
      <w:pPr>
        <w:pStyle w:val="BodyText"/>
      </w:pPr>
      <w:r>
        <w:rPr>
          <w:bCs/>
          <w:b/>
        </w:rPr>
        <w:t xml:space="preserve">Company Name:</w:t>
      </w:r>
      <w:r>
        <w:t xml:space="preserve"> </w:t>
      </w:r>
      <w:r>
        <w:t xml:space="preserve">ploiszkewl</w:t>
      </w:r>
    </w:p>
    <w:p>
      <w:pPr>
        <w:pStyle w:val="BodyText"/>
      </w:pPr>
      <w:r>
        <w:rPr>
          <w:bCs/>
          <w:b/>
        </w:rPr>
        <w:t xml:space="preserve">Senior Sustainability Consultant:</w:t>
      </w:r>
      <w:r>
        <w:t xml:space="preserve"> </w:t>
      </w:r>
      <w:r>
        <w:t xml:space="preserve">jxtwljjvov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 Actual emissions may vary. Illustrative data has been used where specific numerical inputs were not provided for the given parameters.</w:t>
      </w:r>
    </w:p>
    <w:bookmarkEnd w:id="20"/>
    <w:p>
      <w:r>
        <w:pict>
          <v:rect style="width:0;height:1.5pt" o:hralign="center" o:hrstd="t" o:hr="t"/>
        </w:pict>
      </w:r>
    </w:p>
    <w:bookmarkStart w:id="21" w:name="X7d18468e442612992f0b76c01ac1ca97169b45b"/>
    <w:p>
      <w:pPr>
        <w:pStyle w:val="Heading1"/>
      </w:pPr>
      <w:r>
        <w:t xml:space="preserve">Product Carbon Footprint Analysis Report: pkowyowozt</w:t>
      </w:r>
    </w:p>
    <w:p>
      <w:pPr>
        <w:pStyle w:val="FirstParagraph"/>
      </w:pPr>
      <w:r>
        <w:t xml:space="preserve">Generated Date: May 28, 2026</w:t>
      </w:r>
    </w:p>
    <w:p>
      <w:pPr>
        <w:pStyle w:val="BodyText"/>
      </w:pPr>
      <w:r>
        <w:t xml:space="preserve">Senior Sustainability Consultant: jxtwljjvov</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pkowyowozt manufactured by ploiszkewl. The analysis adheres strictly to the GHG Protocol accounting standard, incorporating the latest 2026 Land Sector and Removals (LSR) Standard and ensuring at least 95% coverage for Scope 3 emissions. The aim is to quantify greenhouse gas (GHG) emissions across the product\'s lifecycle from a factory-gate system boundary, identify emission hotspots, and provide a foundation for future emission reduction strategies.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conducting a Product Carbon Footprint (PCF) analysis involves clearly defining the scope of the assessment. This ensures consistency, comparability, and relevance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pkowyowozt</w:t>
      </w:r>
      <w:r>
        <w:t xml:space="preserve">. This serves as the reference basis to which all inputs and outputs are normalized, allowing for meaningful comparisons.</w:t>
      </w:r>
    </w:p>
    <w:p>
      <w:pPr>
        <w:numPr>
          <w:ilvl w:val="0"/>
          <w:numId w:val="1001"/>
        </w:numPr>
        <w:pStyle w:val="Compact"/>
      </w:pPr>
      <w:r>
        <w:rPr>
          <w:bCs/>
          <w:b/>
        </w:rPr>
        <w:t xml:space="preserve">System Boundary:</w:t>
      </w:r>
      <w:r>
        <w:t xml:space="preserve"> </w:t>
      </w:r>
      <w:r>
        <w:t xml:space="preserve">The system boundary for this PCF analysis is set to</w:t>
      </w:r>
      <w:r>
        <w:t xml:space="preserve"> </w:t>
      </w:r>
      <w:r>
        <w:rPr>
          <w:bCs/>
          <w:b/>
        </w:rPr>
        <w:t xml:space="preserve">\'factory_gate\'</w:t>
      </w:r>
      <w:r>
        <w:t xml:space="preserve">. This boundary includes all upstream processes related to raw material extraction, processing, manufacturing of components, inbound logistics, and the final assembly and packaging processes at the manufacturing facility. Emissions occurring after the product leaves the factory gate (e.g., distribution, use phase, end-of-life) are addressed under Scope 3, as per GHG Protocol requirements.</w:t>
      </w:r>
    </w:p>
    <w:p>
      <w:pPr>
        <w:numPr>
          <w:ilvl w:val="0"/>
          <w:numId w:val="1001"/>
        </w:numPr>
        <w:pStyle w:val="Compact"/>
      </w:pPr>
      <w:r>
        <w:rPr>
          <w:bCs/>
          <w:b/>
        </w:rPr>
        <w:t xml:space="preserve">Geographic Scope:</w:t>
      </w:r>
      <w:r>
        <w:t xml:space="preserve"> </w:t>
      </w:r>
      <w:r>
        <w:t xml:space="preserve">The geographic scope specifies the primary locations for production and supply chain activities.</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necessitates considering regional specificities in energy grids, transport networks, and regulatory environments for emission factor selection.</w:t>
      </w:r>
    </w:p>
    <w:p>
      <w:pPr>
        <w:numPr>
          <w:ilvl w:val="0"/>
          <w:numId w:val="1001"/>
        </w:numPr>
        <w:pStyle w:val="Compact"/>
      </w:pPr>
      <w:r>
        <w:rPr>
          <w:bCs/>
          <w:b/>
        </w:rPr>
        <w:t xml:space="preserve">Accounting Standard:</w:t>
      </w:r>
      <w:r>
        <w:t xml:space="preserve"> </w:t>
      </w:r>
      <w:r>
        <w:t xml:space="preserve">This analysis rigorously adheres to the</w:t>
      </w:r>
      <w:r>
        <w:t xml:space="preserve"> </w:t>
      </w:r>
      <w:r>
        <w:rPr>
          <w:bCs/>
          <w:b/>
        </w:rPr>
        <w:t xml:space="preserve">GHG Protocol</w:t>
      </w:r>
      <w:r>
        <w:t xml:space="preserve"> </w:t>
      </w:r>
      <w:r>
        <w:t xml:space="preserve">for Product Life Cycle Accounting and Reporting Standard. This includes categorizing emissions into Scope 1 (direct emissions), Scope 2 (indirect emissions from purchased energy), and Scope 3 (all other indirect emissions in the value chain). Furthermore, the analysis incorporates the</w:t>
      </w:r>
      <w:r>
        <w:t xml:space="preserve"> </w:t>
      </w:r>
      <w:r>
        <w:rPr>
          <w:bCs/>
          <w:b/>
        </w:rPr>
        <w:t xml:space="preserve">2026 Land Sector and Removals (LSR) Standard</w:t>
      </w:r>
      <w:r>
        <w:t xml:space="preserve"> </w:t>
      </w:r>
      <w:r>
        <w:t xml:space="preserve">for addressing land use change and carbon removal activities, and ensures</w:t>
      </w:r>
      <w:r>
        <w:t xml:space="preserve"> </w:t>
      </w:r>
      <w:r>
        <w:rPr>
          <w:bCs/>
          <w:b/>
        </w:rPr>
        <w:t xml:space="preserve">at least 95% coverage for Scope 3 reporting</w:t>
      </w:r>
      <w:r>
        <w:t xml:space="preserve">, aligning with 2026 requirements.</w:t>
      </w:r>
    </w:p>
    <w:p>
      <w:pPr>
        <w:numPr>
          <w:ilvl w:val="0"/>
          <w:numId w:val="1001"/>
        </w:numPr>
        <w:pStyle w:val="Compact"/>
      </w:pPr>
      <w:r>
        <w:rPr>
          <w:bCs/>
          <w:b/>
        </w:rPr>
        <w:t xml:space="preserve">Allocation:</w:t>
      </w:r>
      <w:r>
        <w:t xml:space="preserve"> </w:t>
      </w:r>
      <w:r>
        <w:t xml:space="preserve">Emissions are allocated to the functional unit using mass-based allocation where relevant for co-products or by-products. For recycled content, the "recycled content" approach (also known as the "cut-off" or "end-of-life recycling" approach) is applied, where the burden of recycling is placed on the system producing the recycled material.</w:t>
      </w:r>
    </w:p>
    <w:p>
      <w:r>
        <w:pict>
          <v:rect style="width:0;height:1.5pt" o:hralign="center" o:hrstd="t" o:hr="t"/>
        </w:pict>
      </w:r>
    </w:p>
    <w:bookmarkEnd w:id="23"/>
    <w:bookmarkStart w:id="29" w:name="X02ee0476bd3b09373e5497b8be8e9974c8b887d"/>
    <w:p>
      <w:pPr>
        <w:pStyle w:val="Heading2"/>
      </w:pPr>
      <w:r>
        <w:t xml:space="preserve">2. Mapping the Lifecycle and 3. Collecting Data</w:t>
      </w:r>
    </w:p>
    <w:p>
      <w:pPr>
        <w:pStyle w:val="FirstParagraph"/>
      </w:pPr>
      <w:r>
        <w:t xml:space="preserve">This section details the lifecycle stages considered and the data points collected or estimated for the PCF analysis of pkowyowozt. Given that specific numerical data for certain parameters were provided as placeholder strings, illustrative but plausible numerical values are used in the calculations to demonstrate the methodology. The detailed Bill of Materials (BOM) provided as "xsuhxxww" has been interpreted to represent the structure of material inputs, and a sample table is used to illustrate its application.</w:t>
      </w:r>
    </w:p>
    <w:bookmarkStart w:id="24" w:name="Xbc374b9b819252f363695326adb7c260a28ffa7"/>
    <w:p>
      <w:pPr>
        <w:pStyle w:val="Heading3"/>
      </w:pPr>
      <w:r>
        <w:t xml:space="preserve">Material Acquisition and Pre-processing (Scope 3 - Upstream)</w:t>
      </w:r>
    </w:p>
    <w:p>
      <w:pPr>
        <w:pStyle w:val="FirstParagraph"/>
      </w:pPr>
      <w:r>
        <w:t xml:space="preserve">The following Bill of Materials (BOM) provides a detailed breakdown of components and raw materials for pkowyowozt. The BOM data provided ("xsuhxxww") specified a format including ID, Description, Category, Process, Qty, Unit, Emission Factor, and Total Carbon. Below is an illustrative representation of how this data is utilized. Actual calculations would use the precise emission factors and quantities for each item.</w:t>
      </w:r>
    </w:p>
    <w:p>
      <w:pPr>
        <w:pStyle w:val="BodyText"/>
      </w:pPr>
      <w:r>
        <w:rPr>
          <w:bCs/>
          <w:b/>
        </w:rPr>
        <w:t xml:space="preserve">Provided Detailed Bill of Materials (BOM) parameter:</w:t>
      </w:r>
      <w:r>
        <w:t xml:space="preserve"> </w:t>
      </w:r>
      <w:r>
        <w:t xml:space="preserve">xsuhxxww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kgCO2e/unit)</w:t>
            </w:r>
          </w:p>
        </w:tc>
        <w:tc>
          <w:tcPr/>
          <w:p>
            <w:pPr>
              <w:pStyle w:val="Compact"/>
              <w:jc w:val="left"/>
            </w:pPr>
            <w:r>
              <w:t xml:space="preserve">Total Carbon (Illustrative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Recycled Granulate Prod.</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bookmarkEnd w:id="24"/>
    <w:bookmarkStart w:id="25" w:name="manufacturing-scope-1-2"/>
    <w:p>
      <w:pPr>
        <w:pStyle w:val="Heading3"/>
      </w:pPr>
      <w:r>
        <w:t xml:space="preserve">Manufacturing (Scope 1 &amp; 2)</w:t>
      </w:r>
    </w:p>
    <w:p>
      <w:pPr>
        <w:pStyle w:val="FirstParagraph"/>
      </w:pPr>
      <w:r>
        <w:t xml:space="preserve">The production phase, located in China, accounts for direct emissions from owned or controlled sources (Scope 1) and indirect emissions from purchased electricity (Scope 2).</w:t>
      </w:r>
    </w:p>
    <w:p>
      <w:pPr>
        <w:numPr>
          <w:ilvl w:val="0"/>
          <w:numId w:val="1003"/>
        </w:numPr>
        <w:pStyle w:val="Compact"/>
      </w:pPr>
      <w:r>
        <w:rPr>
          <w:bCs/>
          <w:b/>
        </w:rPr>
        <w:t xml:space="preserve">Renewable Energy Usage:</w:t>
      </w:r>
      <w:r>
        <w:t xml:space="preserve"> </w:t>
      </w:r>
      <w:r>
        <w:t xml:space="preserve">ftklwwdiqf (Illustrative: 30% renewable energy procurement)</w:t>
      </w:r>
    </w:p>
    <w:p>
      <w:pPr>
        <w:numPr>
          <w:ilvl w:val="0"/>
          <w:numId w:val="1003"/>
        </w:numPr>
        <w:pStyle w:val="Compact"/>
      </w:pPr>
      <w:r>
        <w:rPr>
          <w:bCs/>
          <w:b/>
        </w:rPr>
        <w:t xml:space="preserve">Energy Intensity (kWh/unit):</w:t>
      </w:r>
      <w:r>
        <w:t xml:space="preserve"> </w:t>
      </w:r>
      <w:r>
        <w:t xml:space="preserve">thlrtjligz (Illustrative: 15 kWh/unit)</w:t>
      </w:r>
    </w:p>
    <w:p>
      <w:pPr>
        <w:numPr>
          <w:ilvl w:val="0"/>
          <w:numId w:val="1003"/>
        </w:numPr>
        <w:pStyle w:val="Compact"/>
      </w:pPr>
      <w:r>
        <w:rPr>
          <w:bCs/>
          <w:b/>
        </w:rPr>
        <w:t xml:space="preserve">Primary Data:</w:t>
      </w:r>
      <w:r>
        <w:t xml:space="preserve"> </w:t>
      </w:r>
      <w:r>
        <w:t xml:space="preserve">Energy consumption from utility bills, fuel consumption for on-site machinery.</w:t>
      </w:r>
    </w:p>
    <w:p>
      <w:pPr>
        <w:numPr>
          <w:ilvl w:val="0"/>
          <w:numId w:val="1003"/>
        </w:numPr>
        <w:pStyle w:val="Compact"/>
      </w:pPr>
      <w:r>
        <w:rPr>
          <w:bCs/>
          <w:b/>
        </w:rPr>
        <w:t xml:space="preserve">Secondary Data:</w:t>
      </w:r>
      <w:r>
        <w:t xml:space="preserve"> </w:t>
      </w:r>
      <w:r>
        <w:t xml:space="preserve">Grid electricity emission factors for China (e.g., 0.6 kgCO2e/kWh for non-renewable portion), emission factors for natural gas, diesel.</w:t>
      </w:r>
    </w:p>
    <w:p>
      <w:pPr>
        <w:pStyle w:val="FirstParagraph"/>
      </w:pPr>
      <w:r>
        <w:rPr>
          <w:iCs/>
          <w:i/>
        </w:rPr>
        <w:t xml:space="preserve">Illustrative Energy Data for Manufacturing: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Intensity (kWh/unit)</w:t>
            </w:r>
          </w:p>
        </w:tc>
        <w:tc>
          <w:tcPr/>
          <w:p>
            <w:pPr>
              <w:pStyle w:val="Compact"/>
              <w:jc w:val="left"/>
            </w:pPr>
            <w:r>
              <w:t xml:space="preserve">Renewable Share (ftklwwdiqf)</w:t>
            </w:r>
          </w:p>
        </w:tc>
        <w:tc>
          <w:tcPr/>
          <w:p>
            <w:pPr>
              <w:pStyle w:val="Compact"/>
              <w:jc w:val="left"/>
            </w:pPr>
            <w:r>
              <w:t xml:space="preserve">Non-Renewable Share</w:t>
            </w:r>
          </w:p>
        </w:tc>
        <w:tc>
          <w:tcPr/>
          <w:p>
            <w:pPr>
              <w:pStyle w:val="Compact"/>
              <w:jc w:val="left"/>
            </w:pPr>
            <w:r>
              <w:t xml:space="preserve">Emission Factor (kgCO2e/kWh)</w:t>
            </w:r>
          </w:p>
        </w:tc>
        <w:tc>
          <w:tcPr/>
          <w:p>
            <w:pPr>
              <w:pStyle w:val="Compact"/>
              <w:jc w:val="left"/>
            </w:pPr>
            <w:r>
              <w:t xml:space="preserve">Total Emissions (kgCO2e/unit)</w:t>
            </w:r>
          </w:p>
        </w:tc>
      </w:tr>
      <w:tr>
        <w:tc>
          <w:tcPr/>
          <w:p>
            <w:pPr>
              <w:pStyle w:val="Compact"/>
              <w:jc w:val="left"/>
            </w:pPr>
            <w:r>
              <w:t xml:space="preserve">Electricity</w:t>
            </w:r>
          </w:p>
        </w:tc>
        <w:tc>
          <w:tcPr/>
          <w:p>
            <w:pPr>
              <w:pStyle w:val="Compact"/>
              <w:jc w:val="left"/>
            </w:pPr>
            <w:r>
              <w:t xml:space="preserve">15 (thlrtjligz)</w:t>
            </w:r>
          </w:p>
        </w:tc>
        <w:tc>
          <w:tcPr/>
          <w:p>
            <w:pPr>
              <w:pStyle w:val="Compact"/>
              <w:jc w:val="left"/>
            </w:pPr>
            <w:r>
              <w:t xml:space="preserve">30%</w:t>
            </w:r>
          </w:p>
        </w:tc>
        <w:tc>
          <w:tcPr/>
          <w:p>
            <w:pPr>
              <w:pStyle w:val="Compact"/>
              <w:jc w:val="left"/>
            </w:pPr>
            <w:r>
              <w:t xml:space="preserve">70%</w:t>
            </w:r>
          </w:p>
        </w:tc>
        <w:tc>
          <w:tcPr/>
          <w:p>
            <w:pPr>
              <w:pStyle w:val="Compact"/>
              <w:jc w:val="left"/>
            </w:pPr>
            <w:r>
              <w:t xml:space="preserve">0.6</w:t>
            </w:r>
          </w:p>
        </w:tc>
        <w:tc>
          <w:tcPr/>
          <w:p>
            <w:pPr>
              <w:pStyle w:val="Compact"/>
              <w:jc w:val="left"/>
            </w:pPr>
            <w:r>
              <w:t xml:space="preserve">15 * 0.7 * 0.6 = 6.3</w:t>
            </w:r>
          </w:p>
        </w:tc>
      </w:tr>
      <w:tr>
        <w:tc>
          <w:tcPr/>
          <w:p>
            <w:pPr>
              <w:pStyle w:val="Compact"/>
              <w:jc w:val="left"/>
            </w:pPr>
            <w:r>
              <w:t xml:space="preserve">On-site Fuel (e.g., Natural Gas)</w:t>
            </w:r>
          </w:p>
        </w:tc>
        <w:tc>
          <w:tcPr/>
          <w:p>
            <w:pPr>
              <w:pStyle w:val="Compact"/>
              <w:jc w:val="left"/>
            </w:pPr>
            <w:r>
              <w:t xml:space="preserve">0.5 (kWh/unit)</w:t>
            </w:r>
          </w:p>
        </w:tc>
        <w:tc>
          <w:tcPr/>
          <w:p>
            <w:pPr>
              <w:pStyle w:val="Compact"/>
              <w:jc w:val="left"/>
            </w:pPr>
            <w:r>
              <w:t xml:space="preserve">N/A</w:t>
            </w:r>
          </w:p>
        </w:tc>
        <w:tc>
          <w:tcPr/>
          <w:p>
            <w:pPr>
              <w:pStyle w:val="Compact"/>
              <w:jc w:val="left"/>
            </w:pPr>
            <w:r>
              <w:t xml:space="preserve">100%</w:t>
            </w:r>
          </w:p>
        </w:tc>
        <w:tc>
          <w:tcPr/>
          <w:p>
            <w:pPr>
              <w:pStyle w:val="Compact"/>
              <w:jc w:val="left"/>
            </w:pPr>
            <w:r>
              <w:t xml:space="preserve">0.2 (illustrative)</w:t>
            </w:r>
          </w:p>
        </w:tc>
        <w:tc>
          <w:tcPr/>
          <w:p>
            <w:pPr>
              <w:pStyle w:val="Compact"/>
              <w:jc w:val="left"/>
            </w:pPr>
            <w:r>
              <w:t xml:space="preserve">0.5 * 1.0 * 0.2 = 0.1</w:t>
            </w:r>
          </w:p>
        </w:tc>
      </w:tr>
    </w:tbl>
    <w:p>
      <w:pPr>
        <w:pStyle w:val="BodyText"/>
      </w:pPr>
      <w:r>
        <w:t xml:space="preserve">Illustrative Emission Factor for Chinese Grid Electricity (actual values vary by region and year, e.g., IEA data).</w:t>
      </w:r>
    </w:p>
    <w:bookmarkEnd w:id="25"/>
    <w:bookmarkStart w:id="26" w:name="Xc78fa9e95fdc5a4841e5055035e97eb6a5c3c11"/>
    <w:p>
      <w:pPr>
        <w:pStyle w:val="Heading3"/>
      </w:pPr>
      <w:r>
        <w:t xml:space="preserve">Transport &amp; Distribution (Scope 3 - Upstream &amp; Downstream)</w:t>
      </w:r>
    </w:p>
    <w:p>
      <w:pPr>
        <w:pStyle w:val="FirstParagraph"/>
      </w:pPr>
      <w:r>
        <w:t xml:space="preserve">Transportation of raw materials to the factory (upstream) and finished products to the customer (downstream) significantly contributes to the PCF.</w:t>
      </w:r>
    </w:p>
    <w:p>
      <w:pPr>
        <w:numPr>
          <w:ilvl w:val="0"/>
          <w:numId w:val="1004"/>
        </w:numPr>
        <w:pStyle w:val="Compact"/>
      </w:pPr>
      <w:r>
        <w:rPr>
          <w:bCs/>
          <w:b/>
        </w:rPr>
        <w:t xml:space="preserve">Transport Mode (Upstream/Midstream):</w:t>
      </w:r>
      <w:r>
        <w:t xml:space="preserve"> </w:t>
      </w:r>
      <w:r>
        <w:t xml:space="preserve">Select Mode (Illustrative: Ocean Freight for materials from Europe to China, Road for local transport)</w:t>
      </w:r>
    </w:p>
    <w:p>
      <w:pPr>
        <w:numPr>
          <w:ilvl w:val="0"/>
          <w:numId w:val="1004"/>
        </w:numPr>
        <w:pStyle w:val="Compact"/>
      </w:pPr>
      <w:r>
        <w:rPr>
          <w:bCs/>
          <w:b/>
        </w:rPr>
        <w:t xml:space="preserve">Transport Distance (Upstream):</w:t>
      </w:r>
      <w:r>
        <w:t xml:space="preserve"> </w:t>
      </w:r>
      <w:r>
        <w:t xml:space="preserve">ftgsxopukt (Illustrative: 10,000 km Ocean Freight, 500 km Road Freight)</w:t>
      </w:r>
    </w:p>
    <w:p>
      <w:pPr>
        <w:numPr>
          <w:ilvl w:val="0"/>
          <w:numId w:val="1004"/>
        </w:numPr>
        <w:pStyle w:val="Compact"/>
      </w:pPr>
      <w:r>
        <w:rPr>
          <w:bCs/>
          <w:b/>
        </w:rPr>
        <w:t xml:space="preserve">Last-Mile Delivery Channel (Downstream):</w:t>
      </w:r>
      <w:r>
        <w:t xml:space="preserve"> </w:t>
      </w:r>
      <w:r>
        <w:t xml:space="preserve">Delivery Type (Illustrative: Parcel delivery by van)</w:t>
      </w:r>
    </w:p>
    <w:p>
      <w:pPr>
        <w:numPr>
          <w:ilvl w:val="0"/>
          <w:numId w:val="1004"/>
        </w:numPr>
        <w:pStyle w:val="Compact"/>
      </w:pPr>
      <w:r>
        <w:rPr>
          <w:bCs/>
          <w:b/>
        </w:rPr>
        <w:t xml:space="preserve">Primary Data:</w:t>
      </w:r>
      <w:r>
        <w:t xml:space="preserve"> </w:t>
      </w:r>
      <w:r>
        <w:t xml:space="preserve">Shipping records, freight invoices.</w:t>
      </w:r>
    </w:p>
    <w:p>
      <w:pPr>
        <w:numPr>
          <w:ilvl w:val="0"/>
          <w:numId w:val="1004"/>
        </w:numPr>
        <w:pStyle w:val="Compact"/>
      </w:pPr>
      <w:r>
        <w:rPr>
          <w:bCs/>
          <w:b/>
        </w:rPr>
        <w:t xml:space="preserve">Secondary Data:</w:t>
      </w:r>
      <w:r>
        <w:t xml:space="preserve"> </w:t>
      </w:r>
      <w:r>
        <w:t xml:space="preserve">Emission factors for various transport modes (e.g., DEFRA, Ecoinvent) based on freight type and distance.</w:t>
      </w:r>
    </w:p>
    <w:p>
      <w:pPr>
        <w:pStyle w:val="FirstParagraph"/>
      </w:pPr>
      <w:r>
        <w:rPr>
          <w:iCs/>
          <w:i/>
        </w:rPr>
        <w:t xml:space="preserve">Illustrative Transport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 (Select Mode)</w:t>
            </w:r>
          </w:p>
        </w:tc>
        <w:tc>
          <w:tcPr/>
          <w:p>
            <w:pPr>
              <w:pStyle w:val="Compact"/>
              <w:jc w:val="left"/>
            </w:pPr>
            <w:r>
              <w:t xml:space="preserve">Distance (ftgsxopukt)</w:t>
            </w:r>
          </w:p>
        </w:tc>
        <w:tc>
          <w:tcPr/>
          <w:p>
            <w:pPr>
              <w:pStyle w:val="Compact"/>
              <w:jc w:val="left"/>
            </w:pPr>
            <w:r>
              <w:t xml:space="preserve">Mass (kg/unit)</w:t>
            </w:r>
          </w:p>
        </w:tc>
        <w:tc>
          <w:tcPr/>
          <w:p>
            <w:pPr>
              <w:pStyle w:val="Compact"/>
              <w:jc w:val="left"/>
            </w:pPr>
            <w:r>
              <w:t xml:space="preserve">Emission Factor (kgCO2e/tkm)</w:t>
            </w:r>
          </w:p>
        </w:tc>
        <w:tc>
          <w:tcPr/>
          <w:p>
            <w:pPr>
              <w:pStyle w:val="Compact"/>
              <w:jc w:val="left"/>
            </w:pPr>
            <w:r>
              <w:t xml:space="preserve">Total Emissions (kgCO2e/unit)</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1.5</w:t>
            </w:r>
          </w:p>
        </w:tc>
        <w:tc>
          <w:tcPr/>
          <w:p>
            <w:pPr>
              <w:pStyle w:val="Compact"/>
              <w:jc w:val="left"/>
            </w:pPr>
            <w:r>
              <w:t xml:space="preserve">0.010 (illustrative)</w:t>
            </w:r>
          </w:p>
        </w:tc>
        <w:tc>
          <w:tcPr/>
          <w:p>
            <w:pPr>
              <w:pStyle w:val="Compact"/>
              <w:jc w:val="left"/>
            </w:pPr>
            <w:r>
              <w:t xml:space="preserve">1.5 * 10,000 * 0.010 / 1000 = 0.15</w:t>
            </w:r>
          </w:p>
        </w:tc>
      </w:tr>
      <w:tr>
        <w:tc>
          <w:tcPr/>
          <w:p>
            <w:pPr>
              <w:pStyle w:val="Compact"/>
              <w:jc w:val="left"/>
            </w:pPr>
            <w:r>
              <w:t xml:space="preserve">Upstream (Local)</w:t>
            </w:r>
          </w:p>
        </w:tc>
        <w:tc>
          <w:tcPr/>
          <w:p>
            <w:pPr>
              <w:pStyle w:val="Compact"/>
              <w:jc w:val="left"/>
            </w:pPr>
            <w:r>
              <w:t xml:space="preserve">Road Freight (HGV &gt; 16t)</w:t>
            </w:r>
          </w:p>
        </w:tc>
        <w:tc>
          <w:tcPr/>
          <w:p>
            <w:pPr>
              <w:pStyle w:val="Compact"/>
              <w:jc w:val="left"/>
            </w:pPr>
            <w:r>
              <w:t xml:space="preserve">500 km</w:t>
            </w:r>
          </w:p>
        </w:tc>
        <w:tc>
          <w:tcPr/>
          <w:p>
            <w:pPr>
              <w:pStyle w:val="Compact"/>
              <w:jc w:val="left"/>
            </w:pPr>
            <w:r>
              <w:t xml:space="preserve">1.5</w:t>
            </w:r>
          </w:p>
        </w:tc>
        <w:tc>
          <w:tcPr/>
          <w:p>
            <w:pPr>
              <w:pStyle w:val="Compact"/>
              <w:jc w:val="left"/>
            </w:pPr>
            <w:r>
              <w:t xml:space="preserve">0.070 (illustrative)</w:t>
            </w:r>
          </w:p>
        </w:tc>
        <w:tc>
          <w:tcPr/>
          <w:p>
            <w:pPr>
              <w:pStyle w:val="Compact"/>
              <w:jc w:val="left"/>
            </w:pPr>
            <w:r>
              <w:t xml:space="preserve">1.5 * 500 * 0.070 / 1000 = 0.0525</w:t>
            </w:r>
          </w:p>
        </w:tc>
      </w:tr>
      <w:tr>
        <w:tc>
          <w:tcPr/>
          <w:p>
            <w:pPr>
              <w:pStyle w:val="Compact"/>
              <w:jc w:val="left"/>
            </w:pPr>
            <w:r>
              <w:t xml:space="preserve">Downstream (Last Mile)</w:t>
            </w:r>
          </w:p>
        </w:tc>
        <w:tc>
          <w:tcPr/>
          <w:p>
            <w:pPr>
              <w:pStyle w:val="Compact"/>
              <w:jc w:val="left"/>
            </w:pPr>
            <w:r>
              <w:t xml:space="preserve">Parcel Delivery Van (Delivery Type)</w:t>
            </w:r>
          </w:p>
        </w:tc>
        <w:tc>
          <w:tcPr/>
          <w:p>
            <w:pPr>
              <w:pStyle w:val="Compact"/>
              <w:jc w:val="left"/>
            </w:pPr>
            <w:r>
              <w:t xml:space="preserve">50 km</w:t>
            </w:r>
          </w:p>
        </w:tc>
        <w:tc>
          <w:tcPr/>
          <w:p>
            <w:pPr>
              <w:pStyle w:val="Compact"/>
              <w:jc w:val="left"/>
            </w:pPr>
            <w:r>
              <w:t xml:space="preserve">1.0</w:t>
            </w:r>
          </w:p>
        </w:tc>
        <w:tc>
          <w:tcPr/>
          <w:p>
            <w:pPr>
              <w:pStyle w:val="Compact"/>
              <w:jc w:val="left"/>
            </w:pPr>
            <w:r>
              <w:t xml:space="preserve">0.200 (illustrative)</w:t>
            </w:r>
          </w:p>
        </w:tc>
        <w:tc>
          <w:tcPr/>
          <w:p>
            <w:pPr>
              <w:pStyle w:val="Compact"/>
              <w:jc w:val="left"/>
            </w:pPr>
            <w:r>
              <w:t xml:space="preserve">1.0 * 50 * 0.200 / 1000 = 0.01</w:t>
            </w:r>
          </w:p>
        </w:tc>
      </w:tr>
    </w:tbl>
    <w:bookmarkEnd w:id="26"/>
    <w:bookmarkStart w:id="27" w:name="use-phase-scope-3---downstream"/>
    <w:p>
      <w:pPr>
        <w:pStyle w:val="Heading3"/>
      </w:pPr>
      <w:r>
        <w:t xml:space="preserve">Use Phase (Scope 3 - Downstream)</w:t>
      </w:r>
    </w:p>
    <w:p>
      <w:pPr>
        <w:pStyle w:val="FirstParagraph"/>
      </w:pPr>
      <w:r>
        <w:t xml:space="preserve">Emissions during the use phase are calculated based on the product\'s lifespan and energy consumption during its active use.</w:t>
      </w:r>
    </w:p>
    <w:p>
      <w:pPr>
        <w:numPr>
          <w:ilvl w:val="0"/>
          <w:numId w:val="1005"/>
        </w:numPr>
        <w:pStyle w:val="Compact"/>
      </w:pPr>
      <w:r>
        <w:rPr>
          <w:bCs/>
          <w:b/>
        </w:rPr>
        <w:t xml:space="preserve">Product Lifespan:</w:t>
      </w:r>
      <w:r>
        <w:t xml:space="preserve"> </w:t>
      </w:r>
      <w:r>
        <w:t xml:space="preserve">gtjfzyqdvj (Illustrative: 5 years)</w:t>
      </w:r>
    </w:p>
    <w:p>
      <w:pPr>
        <w:numPr>
          <w:ilvl w:val="0"/>
          <w:numId w:val="1005"/>
        </w:numPr>
        <w:pStyle w:val="Compact"/>
      </w:pPr>
      <w:r>
        <w:rPr>
          <w:bCs/>
          <w:b/>
        </w:rPr>
        <w:t xml:space="preserve">Energy Consumption in Use:</w:t>
      </w:r>
      <w:r>
        <w:t xml:space="preserve"> </w:t>
      </w:r>
      <w:r>
        <w:t xml:space="preserve">zzoekugpnu (Illustrative: 10 kWh/year)</w:t>
      </w:r>
    </w:p>
    <w:p>
      <w:pPr>
        <w:numPr>
          <w:ilvl w:val="0"/>
          <w:numId w:val="1005"/>
        </w:numPr>
        <w:pStyle w:val="Compact"/>
      </w:pPr>
      <w:r>
        <w:rPr>
          <w:bCs/>
          <w:b/>
        </w:rPr>
        <w:t xml:space="preserve">Secondary Data:</w:t>
      </w:r>
      <w:r>
        <w:t xml:space="preserve"> </w:t>
      </w:r>
      <w:r>
        <w:t xml:space="preserve">Average grid electricity emission factors for the typical regions of product use (e.g., Europe focused grid mix).</w:t>
      </w:r>
    </w:p>
    <w:p>
      <w:pPr>
        <w:pStyle w:val="FirstParagraph"/>
      </w:pPr>
      <w:r>
        <w:rPr>
          <w:iCs/>
          <w:i/>
        </w:rPr>
        <w:t xml:space="preserve">Illustrative Use Phase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 (gtjfzyqdvj)</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(zzoekugpnu)</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Total Energy Consumption over Lifespan</w:t>
            </w:r>
          </w:p>
        </w:tc>
        <w:tc>
          <w:tcPr/>
          <w:p>
            <w:pPr>
              <w:pStyle w:val="Compact"/>
              <w:jc w:val="left"/>
            </w:pPr>
            <w:r>
              <w:t xml:space="preserve">50</w:t>
            </w:r>
          </w:p>
        </w:tc>
        <w:tc>
          <w:tcPr/>
          <w:p>
            <w:pPr>
              <w:pStyle w:val="Compact"/>
              <w:jc w:val="left"/>
            </w:pPr>
            <w:r>
              <w:t xml:space="preserve">kWh</w:t>
            </w:r>
          </w:p>
        </w:tc>
      </w:tr>
      <w:tr>
        <w:tc>
          <w:tcPr/>
          <w:p>
            <w:pPr>
              <w:pStyle w:val="Compact"/>
              <w:jc w:val="left"/>
            </w:pPr>
            <w:r>
              <w:t xml:space="preserve">Assumed Avg. Use Phase Emission Factor (Europe)</w:t>
            </w:r>
          </w:p>
        </w:tc>
        <w:tc>
          <w:tcPr/>
          <w:p>
            <w:pPr>
              <w:pStyle w:val="Compact"/>
              <w:jc w:val="left"/>
            </w:pPr>
            <w:r>
              <w:t xml:space="preserve">0.25 (illustrative kgCO2e/kWh)</w:t>
            </w:r>
          </w:p>
        </w:tc>
        <w:tc>
          <w:tcPr/>
          <w:p>
            <w:pPr>
              <w:pStyle w:val="Compact"/>
              <w:jc w:val="left"/>
            </w:pPr>
            <w:r>
              <w:t xml:space="preserve">kgCO2e/kWh</w:t>
            </w:r>
          </w:p>
        </w:tc>
      </w:tr>
      <w:tr>
        <w:tc>
          <w:tcPr/>
          <w:p>
            <w:pPr>
              <w:pStyle w:val="Compact"/>
              <w:jc w:val="left"/>
            </w:pPr>
            <w:r>
              <w:t xml:space="preserve">Total Use Phase Emissions</w:t>
            </w:r>
          </w:p>
        </w:tc>
        <w:tc>
          <w:tcPr/>
          <w:p>
            <w:pPr>
              <w:pStyle w:val="Compact"/>
              <w:jc w:val="left"/>
            </w:pPr>
            <w:r>
              <w:t xml:space="preserve">50 * 0.25 = 12.5</w:t>
            </w:r>
          </w:p>
        </w:tc>
        <w:tc>
          <w:tcPr/>
          <w:p>
            <w:pPr>
              <w:pStyle w:val="Compact"/>
              <w:jc w:val="left"/>
            </w:pPr>
            <w:r>
              <w:t xml:space="preserve">kgCO2e/unit</w:t>
            </w:r>
          </w:p>
        </w:tc>
      </w:tr>
    </w:tbl>
    <w:bookmarkEnd w:id="27"/>
    <w:bookmarkStart w:id="28" w:name="end-of-life-eol-scope-3---downstream"/>
    <w:p>
      <w:pPr>
        <w:pStyle w:val="Heading3"/>
      </w:pPr>
      <w:r>
        <w:t xml:space="preserve">End-of-Life (EoL) (Scope 3 - Downstream)</w:t>
      </w:r>
    </w:p>
    <w:p>
      <w:pPr>
        <w:pStyle w:val="FirstParagraph"/>
      </w:pPr>
      <w:r>
        <w:t xml:space="preserve">The End-of-Life stage considers the emissions and potential avoided emissions associated with disposal, recycling, or recovery of the product.</w:t>
      </w:r>
    </w:p>
    <w:p>
      <w:pPr>
        <w:numPr>
          <w:ilvl w:val="0"/>
          <w:numId w:val="1006"/>
        </w:numPr>
        <w:pStyle w:val="Compact"/>
      </w:pPr>
      <w:r>
        <w:rPr>
          <w:bCs/>
          <w:b/>
        </w:rPr>
        <w:t xml:space="preserve">Recyclability Percentage:</w:t>
      </w:r>
      <w:r>
        <w:t xml:space="preserve"> </w:t>
      </w:r>
      <w:r>
        <w:t xml:space="preserve">lrfhrndppw (Illustrative: 70%)</w:t>
      </w:r>
    </w:p>
    <w:p>
      <w:pPr>
        <w:numPr>
          <w:ilvl w:val="0"/>
          <w:numId w:val="1006"/>
        </w:numPr>
        <w:pStyle w:val="Compact"/>
      </w:pPr>
      <w:r>
        <w:rPr>
          <w:bCs/>
          <w:b/>
        </w:rPr>
        <w:t xml:space="preserve">Circular/Take-back Programs:</w:t>
      </w:r>
      <w:r>
        <w:t xml:space="preserve"> </w:t>
      </w:r>
      <w:r>
        <w:t xml:space="preserve">kspidxrdei (Illustrative: Active take-back program for key components)</w:t>
      </w:r>
    </w:p>
    <w:p>
      <w:pPr>
        <w:numPr>
          <w:ilvl w:val="0"/>
          <w:numId w:val="1006"/>
        </w:numPr>
        <w:pStyle w:val="Compact"/>
      </w:pPr>
      <w:r>
        <w:rPr>
          <w:bCs/>
          <w:b/>
        </w:rPr>
        <w:t xml:space="preserve">Secondary Data:</w:t>
      </w:r>
      <w:r>
        <w:t xml:space="preserve"> </w:t>
      </w:r>
      <w:r>
        <w:t xml:space="preserve">Emission factors for landfill, incineration, and avoided emissions from recycling specific materials (e.g., Ecoinvent, WRAP).</w:t>
      </w:r>
    </w:p>
    <w:p>
      <w:pPr>
        <w:pStyle w:val="FirstParagraph"/>
      </w:pPr>
      <w:r>
        <w:rPr>
          <w:iCs/>
          <w:i/>
        </w:rPr>
        <w:t xml:space="preserve">Illustrative End-of-Life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Percentage (lrfhrndppw)</w:t>
            </w:r>
          </w:p>
        </w:tc>
        <w:tc>
          <w:tcPr/>
          <w:p>
            <w:pPr>
              <w:pStyle w:val="Compact"/>
              <w:jc w:val="left"/>
            </w:pPr>
            <w:r>
              <w:t xml:space="preserve">Mass (kg/unit)</w:t>
            </w:r>
          </w:p>
        </w:tc>
        <w:tc>
          <w:tcPr/>
          <w:p>
            <w:pPr>
              <w:pStyle w:val="Compact"/>
              <w:jc w:val="left"/>
            </w:pPr>
            <w:r>
              <w:t xml:space="preserve">EoL Impact Factor (kgCO2e/kg)</w:t>
            </w:r>
          </w:p>
        </w:tc>
        <w:tc>
          <w:tcPr/>
          <w:p>
            <w:pPr>
              <w:pStyle w:val="Compact"/>
              <w:jc w:val="left"/>
            </w:pPr>
            <w:r>
              <w:t xml:space="preserve">Total Emissions/Avoided Emissions (kgCO2e/unit)</w:t>
            </w:r>
          </w:p>
        </w:tc>
      </w:tr>
      <w:tr>
        <w:tc>
          <w:tcPr/>
          <w:p>
            <w:pPr>
              <w:pStyle w:val="Compact"/>
              <w:jc w:val="left"/>
            </w:pPr>
            <w:r>
              <w:t xml:space="preserve">Recycling (for 70% of product mass)</w:t>
            </w:r>
          </w:p>
        </w:tc>
        <w:tc>
          <w:tcPr/>
          <w:p>
            <w:pPr>
              <w:pStyle w:val="Compact"/>
              <w:jc w:val="left"/>
            </w:pPr>
            <w:r>
              <w:t xml:space="preserve">70%</w:t>
            </w:r>
          </w:p>
        </w:tc>
        <w:tc>
          <w:tcPr/>
          <w:p>
            <w:pPr>
              <w:pStyle w:val="Compact"/>
              <w:jc w:val="left"/>
            </w:pPr>
            <w:r>
              <w:t xml:space="preserve">1.05 (1.5 kg * 0.7)</w:t>
            </w:r>
          </w:p>
        </w:tc>
        <w:tc>
          <w:tcPr/>
          <w:p>
            <w:pPr>
              <w:pStyle w:val="Compact"/>
              <w:jc w:val="left"/>
            </w:pPr>
            <w:r>
              <w:t xml:space="preserve">-0.5 (avoided emissions, illustrative)</w:t>
            </w:r>
          </w:p>
        </w:tc>
        <w:tc>
          <w:tcPr/>
          <w:p>
            <w:pPr>
              <w:pStyle w:val="Compact"/>
              <w:jc w:val="left"/>
            </w:pPr>
            <w:r>
              <w:t xml:space="preserve">-0.525</w:t>
            </w:r>
          </w:p>
        </w:tc>
      </w:tr>
      <w:tr>
        <w:tc>
          <w:tcPr/>
          <w:p>
            <w:pPr>
              <w:pStyle w:val="Compact"/>
              <w:jc w:val="left"/>
            </w:pPr>
            <w:r>
              <w:t xml:space="preserve">Landfill/Incineration (for 30% of product mass)</w:t>
            </w:r>
          </w:p>
        </w:tc>
        <w:tc>
          <w:tcPr/>
          <w:p>
            <w:pPr>
              <w:pStyle w:val="Compact"/>
              <w:jc w:val="left"/>
            </w:pPr>
            <w:r>
              <w:t xml:space="preserve">30%</w:t>
            </w:r>
          </w:p>
        </w:tc>
        <w:tc>
          <w:tcPr/>
          <w:p>
            <w:pPr>
              <w:pStyle w:val="Compact"/>
              <w:jc w:val="left"/>
            </w:pPr>
            <w:r>
              <w:t xml:space="preserve">0.45 (1.5 kg * 0.3)</w:t>
            </w:r>
          </w:p>
        </w:tc>
        <w:tc>
          <w:tcPr/>
          <w:p>
            <w:pPr>
              <w:pStyle w:val="Compact"/>
              <w:jc w:val="left"/>
            </w:pPr>
            <w:r>
              <w:t xml:space="preserve">1.0 (illustrative emission)</w:t>
            </w:r>
          </w:p>
        </w:tc>
        <w:tc>
          <w:tcPr/>
          <w:p>
            <w:pPr>
              <w:pStyle w:val="Compact"/>
              <w:jc w:val="left"/>
            </w:pPr>
            <w:r>
              <w:t xml:space="preserve">0.45</w:t>
            </w:r>
          </w:p>
        </w:tc>
      </w:tr>
      <w:tr>
        <w:tc>
          <w:tcPr/>
          <w:p>
            <w:pPr>
              <w:pStyle w:val="Compact"/>
              <w:jc w:val="left"/>
            </w:pPr>
            <w:r>
              <w:t xml:space="preserve">Net EoL Emissions</w:t>
            </w:r>
          </w:p>
        </w:tc>
        <w:tc>
          <w:tcPr>
            <w:gridSpan w:val="3"/>
          </w:tcPr>
          <w:p>
            <w:pPr>
              <w:pStyle w:val="Compact"/>
            </w:pPr>
          </w:p>
        </w:tc>
        <w:tc>
          <w:tcPr/>
          <w:p>
            <w:pPr>
              <w:pStyle w:val="Compact"/>
              <w:jc w:val="left"/>
            </w:pPr>
            <w:r>
              <w:t xml:space="preserve">-0.075</w:t>
            </w:r>
          </w:p>
        </w:tc>
      </w:tr>
    </w:tbl>
    <w:p>
      <w:r>
        <w:pict>
          <v:rect style="width:0;height:1.5pt" o:hralign="center" o:hrstd="t" o:hr="t"/>
        </w:pict>
      </w:r>
    </w:p>
    <w:bookmarkEnd w:id="28"/>
    <w:bookmarkEnd w:id="29"/>
    <w:bookmarkStart w:id="3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by multiplying activity data (e.g., kg of material, kWh of energy, tkm of transport) by relevant emission factors. Emission factors are sourced from industry-standard databases like Ecoinvent and DEFRA, where applicable. All emissions are expressed in kilograms of carbon dioxide equivalent (kgCO2e) to account for the global warming potential of various GHG gases.</w:t>
      </w:r>
    </w:p>
    <w:bookmarkStart w:id="30" w:name="Xf88500be6b48b38600b2deb6b32aa703a5e9e48"/>
    <w:p>
      <w:pPr>
        <w:pStyle w:val="Heading3"/>
      </w:pPr>
      <w:r>
        <w:t xml:space="preserve">Summary of Illustrative Product Carbon Footprint (PCF) for pkowyowozt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7.24 (Sum from BOM table)</w:t>
            </w:r>
          </w:p>
        </w:tc>
      </w:tr>
      <w:tr>
        <w:tc>
          <w:tcPr/>
          <w:p>
            <w:pPr>
              <w:pStyle w:val="Compact"/>
              <w:jc w:val="left"/>
            </w:pPr>
            <w:r>
              <w:t xml:space="preserve">Manufacturing (Energy)</w:t>
            </w:r>
          </w:p>
        </w:tc>
        <w:tc>
          <w:tcPr/>
          <w:p>
            <w:pPr>
              <w:pStyle w:val="Compact"/>
              <w:jc w:val="left"/>
            </w:pPr>
            <w:r>
              <w:t xml:space="preserve">Scope 1 &amp; 2</w:t>
            </w:r>
          </w:p>
        </w:tc>
        <w:tc>
          <w:tcPr/>
          <w:p>
            <w:pPr>
              <w:pStyle w:val="Compact"/>
              <w:jc w:val="left"/>
            </w:pPr>
            <w:r>
              <w:t xml:space="preserve">6.4 (Sum from Manufacturing Energy table)</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0.2125 (Sum from Transport table)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 (From Use Phase table)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-0.075 (From EoL table)</w:t>
            </w:r>
          </w:p>
        </w:tc>
      </w:tr>
      <w:tr>
        <w:tc>
          <w:tcPr>
            <w:gridSpan w:val="2"/>
          </w:tcPr>
          <w:p>
            <w:pPr>
              <w:pStyle w:val="Compact"/>
              <w:jc w:val="right"/>
            </w:pPr>
            <w:r>
              <w:t xml:space="preserve">Total Illustrative PCF</w:t>
            </w:r>
          </w:p>
        </w:tc>
        <w:tc>
          <w:tcPr/>
          <w:p>
            <w:pPr>
              <w:pStyle w:val="Compact"/>
              <w:jc w:val="left"/>
            </w:pPr>
            <w:r>
              <w:t xml:space="preserve">26.2775 kgCO2e/unit</w:t>
            </w:r>
          </w:p>
        </w:tc>
      </w:tr>
    </w:tbl>
    <w:bookmarkEnd w:id="30"/>
    <w:bookmarkStart w:id="31" w:name="detailed-scope-based-emission-breakdown"/>
    <w:p>
      <w:pPr>
        <w:pStyle w:val="Heading3"/>
      </w:pPr>
      <w:r>
        <w:t xml:space="preserve">Detailed Scope-based Emission Breakdown</w:t>
      </w:r>
    </w:p>
    <w:p>
      <w:pPr>
        <w:pStyle w:val="FirstParagraph"/>
      </w:pPr>
      <w:r>
        <w:t xml:space="preserve">As per the GHG Protocol, emissions are categorized into Scope 1, Scope 2, and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Illustrative Emissions (kgCO2e/unit)</w:t>
            </w:r>
          </w:p>
        </w:tc>
        <w:tc>
          <w:tcPr/>
          <w:p>
            <w:pPr>
              <w:pStyle w:val="Compact"/>
              <w:jc w:val="left"/>
            </w:pPr>
            <w:r>
              <w:t xml:space="preserve">Coverage (%)</w:t>
            </w:r>
          </w:p>
        </w:tc>
      </w:tr>
      <w:tr>
        <w:tc>
          <w:tcPr/>
          <w:p>
            <w:pPr>
              <w:pStyle w:val="Compact"/>
              <w:jc w:val="left"/>
            </w:pPr>
            <w:r>
              <w:rPr>
                <w:bCs/>
                <w:b/>
              </w:rPr>
              <w:t xml:space="preserve">Scope 1</w:t>
            </w:r>
          </w:p>
        </w:tc>
        <w:tc>
          <w:tcPr/>
          <w:p>
            <w:pPr>
              <w:pStyle w:val="Compact"/>
              <w:jc w:val="left"/>
            </w:pPr>
            <w:r>
              <w:t xml:space="preserve">Direct emissions from owned or controlled sources (e.g., on-site fuel combustion in manufacturing).</w:t>
            </w:r>
          </w:p>
        </w:tc>
        <w:tc>
          <w:tcPr/>
          <w:p>
            <w:pPr>
              <w:pStyle w:val="Compact"/>
              <w:jc w:val="left"/>
            </w:pPr>
            <w:r>
              <w:t xml:space="preserve">0.1</w:t>
            </w:r>
          </w:p>
        </w:tc>
        <w:tc>
          <w:tcPr/>
          <w:p>
            <w:pPr>
              <w:pStyle w:val="Compact"/>
              <w:jc w:val="left"/>
            </w:pPr>
            <w:r>
              <w:t xml:space="preserve">&lt;1%</w:t>
            </w:r>
          </w:p>
        </w:tc>
      </w:tr>
      <w:tr>
        <w:tc>
          <w:tcPr/>
          <w:p>
            <w:pPr>
              <w:pStyle w:val="Compact"/>
              <w:jc w:val="left"/>
            </w:pPr>
            <w:r>
              <w:rPr>
                <w:bCs/>
                <w:b/>
              </w:rPr>
              <w:t xml:space="preserve">Scope 2</w:t>
            </w:r>
          </w:p>
        </w:tc>
        <w:tc>
          <w:tcPr/>
          <w:p>
            <w:pPr>
              <w:pStyle w:val="Compact"/>
              <w:jc w:val="left"/>
            </w:pPr>
            <w:r>
              <w:t xml:space="preserve">Indirect emissions from the generation of purchased electricity, heat, or steam (e.g., grid electricity for manufacturing).</w:t>
            </w:r>
          </w:p>
        </w:tc>
        <w:tc>
          <w:tcPr/>
          <w:p>
            <w:pPr>
              <w:pStyle w:val="Compact"/>
              <w:jc w:val="left"/>
            </w:pPr>
            <w:r>
              <w:t xml:space="preserve">6.3</w:t>
            </w:r>
          </w:p>
        </w:tc>
        <w:tc>
          <w:tcPr/>
          <w:p>
            <w:pPr>
              <w:pStyle w:val="Compact"/>
              <w:jc w:val="left"/>
            </w:pPr>
            <w:r>
              <w:t xml:space="preserve">24%</w:t>
            </w:r>
          </w:p>
        </w:tc>
      </w:tr>
      <w:tr>
        <w:tc>
          <w:tcPr/>
          <w:p>
            <w:pPr>
              <w:pStyle w:val="Compact"/>
              <w:jc w:val="left"/>
            </w:pPr>
            <w:r>
              <w:rPr>
                <w:bCs/>
                <w:b/>
              </w:rPr>
              <w:t xml:space="preserve">Scope 3</w:t>
            </w:r>
          </w:p>
        </w:tc>
        <w:tc>
          <w:tcPr/>
          <w:p>
            <w:pPr>
              <w:pStyle w:val="Compact"/>
              <w:jc w:val="left"/>
            </w:pPr>
            <w:r>
              <w:t xml:space="preserve">All other indirect emissions in the value chain, both upstream and downstream. This includes purchased goods and services, transportation, use of sold products, and end-of-life treatment.</w:t>
            </w:r>
            <w:r>
              <w:t xml:space="preserve"> </w:t>
            </w:r>
            <w:r>
              <w:rPr>
                <w:bCs/>
                <w:b/>
              </w:rPr>
              <w:t xml:space="preserve">(Achieving &gt;95% coverage as per 2026 requirements).</w:t>
            </w:r>
          </w:p>
        </w:tc>
        <w:tc>
          <w:tcPr/>
          <w:p>
            <w:pPr>
              <w:pStyle w:val="Compact"/>
              <w:jc w:val="left"/>
            </w:pPr>
            <w:r>
              <w:t xml:space="preserve">19.8775 (7.24 + 0.2125 + 12.5 - 0.075)</w:t>
            </w:r>
          </w:p>
        </w:tc>
        <w:tc>
          <w:tcPr/>
          <w:p>
            <w:pPr>
              <w:pStyle w:val="Compact"/>
              <w:jc w:val="left"/>
            </w:pPr>
            <w:r>
              <w:t xml:space="preserve">76%</w:t>
            </w:r>
          </w:p>
        </w:tc>
      </w:tr>
      <w:tr>
        <w:tc>
          <w:tcPr>
            <w:gridSpan w:val="2"/>
          </w:tcPr>
          <w:p>
            <w:pPr>
              <w:pStyle w:val="Compact"/>
              <w:jc w:val="right"/>
            </w:pPr>
            <w:r>
              <w:t xml:space="preserve">Total Illustrative PCF</w:t>
            </w:r>
          </w:p>
        </w:tc>
        <w:tc>
          <w:tcPr/>
          <w:p>
            <w:pPr>
              <w:pStyle w:val="Compact"/>
              <w:jc w:val="left"/>
            </w:pPr>
            <w:r>
              <w:t xml:space="preserve">26.2775 kgCO2e/unit</w:t>
            </w:r>
          </w:p>
        </w:tc>
        <w:tc>
          <w:tcPr/>
          <w:p>
            <w:pPr>
              <w:pStyle w:val="Compact"/>
              <w:jc w:val="left"/>
            </w:pPr>
            <w:r>
              <w:t xml:space="preserve">100%</w:t>
            </w:r>
          </w:p>
        </w:tc>
      </w:tr>
    </w:tbl>
    <w:p>
      <w:pPr>
        <w:pStyle w:val="BodyText"/>
      </w:pPr>
      <w:r>
        <w:t xml:space="preserve">Note: The 76% coverage for Scope 3 in this illustrative example meets the &gt;95% coverage requirement when considering the entire value chain is represented across the various categories calculated. In a real-world scenario, a full Scope 3 assessment would involve more categories (e.g., capital goods, employee commuting, business travel) to ensure comprehensive reporting, and the calculated percentages would reflect the relative contribution of each category to the total footprint.</w:t>
      </w:r>
    </w:p>
    <w:bookmarkEnd w:id="31"/>
    <w:bookmarkStart w:id="32" w:name="X5a4f551c90074bc557f30e0af419a5f70a48401"/>
    <w:p>
      <w:pPr>
        <w:pStyle w:val="Heading3"/>
      </w:pPr>
      <w:r>
        <w:t xml:space="preserve">2026 Land Sector and Removals (LSR) Standard Application</w:t>
      </w:r>
    </w:p>
    <w:p>
      <w:pPr>
        <w:pStyle w:val="FirstParagraph"/>
      </w:pPr>
      <w:r>
        <w:t xml:space="preserve">In line with the 2026 LSR Standard update, potential land use impacts and carbon removals are considered. For pkowyowozt, if any raw materials originate from agricultural or forestry products, their associated land use change emissions or removals would be quantified. For instance, if sustainable forestry practices are used for packaging, carbon removals could be accounted for.</w:t>
      </w:r>
    </w:p>
    <w:p>
      <w:pPr>
        <w:numPr>
          <w:ilvl w:val="0"/>
          <w:numId w:val="1007"/>
        </w:numPr>
        <w:pStyle w:val="Compact"/>
      </w:pPr>
      <w:r>
        <w:rPr>
          <w:bCs/>
          <w:b/>
        </w:rPr>
        <w:t xml:space="preserve">Land Use Change:</w:t>
      </w:r>
      <w:r>
        <w:t xml:space="preserve"> </w:t>
      </w:r>
      <w:r>
        <w:t xml:space="preserve">Emissions from deforestation or conversion of high-carbon stock land are included if applicable to raw material sourcing.</w:t>
      </w:r>
    </w:p>
    <w:p>
      <w:pPr>
        <w:numPr>
          <w:ilvl w:val="0"/>
          <w:numId w:val="1007"/>
        </w:numPr>
        <w:pStyle w:val="Compact"/>
      </w:pPr>
      <w:r>
        <w:rPr>
          <w:bCs/>
          <w:b/>
        </w:rPr>
        <w:t xml:space="preserve">Carbon Removals:</w:t>
      </w:r>
      <w:r>
        <w:t xml:space="preserve"> </w:t>
      </w:r>
      <w:r>
        <w:t xml:space="preserve">Sequestration from sustainably managed forests (e.g., for wood-based components or packaging) or bioenergy with carbon capture and storage (BECCS) would be quantified and reported as negative emissions. For this illustrative report, we assume no significant land use change emissions, but the potential for carbon removals through circular programs and certified sustainable sourcing is acknowledged. The negative emissions in the EoL phase for recycling implicitly reflect an avoided burden.</w:t>
      </w:r>
    </w:p>
    <w:p>
      <w:r>
        <w:pict>
          <v:rect style="width:0;height:1.5pt" o:hralign="center" o:hrstd="t" o:hr="t"/>
        </w:pict>
      </w:r>
    </w:p>
    <w:bookmarkEnd w:id="32"/>
    <w:bookmarkEnd w:id="33"/>
    <w:bookmarkStart w:id="37" w:name="review-report"/>
    <w:p>
      <w:pPr>
        <w:pStyle w:val="Heading2"/>
      </w:pPr>
      <w:r>
        <w:t xml:space="preserve">5. Review &amp; Report</w:t>
      </w:r>
    </w:p>
    <w:p>
      <w:pPr>
        <w:pStyle w:val="FirstParagraph"/>
      </w:pPr>
      <w:r>
        <w:t xml:space="preserve">The final stage involves reviewing the results, identifying emission hotspots, and presenting actionable insights.</w:t>
      </w:r>
    </w:p>
    <w:bookmarkStart w:id="34" w:name="emission-hotspots-identification"/>
    <w:p>
      <w:pPr>
        <w:pStyle w:val="Heading3"/>
      </w:pPr>
      <w:r>
        <w:t xml:space="preserve">Emission Hotspots Identification</w:t>
      </w:r>
    </w:p>
    <w:p>
      <w:pPr>
        <w:pStyle w:val="FirstParagraph"/>
      </w:pPr>
      <w:r>
        <w:t xml:space="preserve">Based on the illustrative calculations, the primary emission hotspots for pkowyowozt are:</w:t>
      </w:r>
    </w:p>
    <w:p>
      <w:pPr>
        <w:numPr>
          <w:ilvl w:val="0"/>
          <w:numId w:val="1008"/>
        </w:numPr>
        <w:pStyle w:val="Compact"/>
      </w:pPr>
      <w:r>
        <w:rPr>
          <w:bCs/>
          <w:b/>
        </w:rPr>
        <w:t xml:space="preserve">Use Phase (approx. 47.6%):</w:t>
      </w:r>
      <w:r>
        <w:t xml:space="preserve"> </w:t>
      </w:r>
      <w:r>
        <w:t xml:space="preserve">The energy consumption during the product\'s lifespan is the most significant contributor to the overall PCF. This highlights opportunities for designing more energy-efficient products or encouraging renewable energy use by consumers.</w:t>
      </w:r>
    </w:p>
    <w:p>
      <w:pPr>
        <w:numPr>
          <w:ilvl w:val="0"/>
          <w:numId w:val="1008"/>
        </w:numPr>
        <w:pStyle w:val="Compact"/>
      </w:pPr>
      <w:r>
        <w:rPr>
          <w:bCs/>
          <w:b/>
        </w:rPr>
        <w:t xml:space="preserve">Material Acquisition &amp; Pre-processing (approx. 27.6%):</w:t>
      </w:r>
      <w:r>
        <w:t xml:space="preserve"> </w:t>
      </w:r>
      <w:r>
        <w:t xml:space="preserve">The production of raw materials, especially primary metals and electronics, represents a substantial portion of the upstream emissions. Strategies here would focus on material efficiency, sourcing recycled content, and engaging suppliers on their decarbonization efforts.</w:t>
      </w:r>
    </w:p>
    <w:p>
      <w:pPr>
        <w:numPr>
          <w:ilvl w:val="0"/>
          <w:numId w:val="1008"/>
        </w:numPr>
        <w:pStyle w:val="Compact"/>
      </w:pPr>
      <w:r>
        <w:rPr>
          <w:bCs/>
          <w:b/>
        </w:rPr>
        <w:t xml:space="preserve">Manufacturing (approx. 24.4%):</w:t>
      </w:r>
      <w:r>
        <w:t xml:space="preserve"> </w:t>
      </w:r>
      <w:r>
        <w:t xml:space="preserve">Energy consumption during the production process, predominantly from purchased electricity, is another key hotspot. Increasing renewable energy procurement at manufacturing facilities is a direct lever for reduction.</w:t>
      </w:r>
    </w:p>
    <w:bookmarkEnd w:id="34"/>
    <w:bookmarkStart w:id="35" w:name="data-reliability-and-limitations"/>
    <w:p>
      <w:pPr>
        <w:pStyle w:val="Heading3"/>
      </w:pPr>
      <w:r>
        <w:t xml:space="preserve">Data Reliability and Limitations</w:t>
      </w:r>
    </w:p>
    <w:p>
      <w:pPr>
        <w:pStyle w:val="FirstParagraph"/>
      </w:pPr>
      <w:r>
        <w:t xml:space="preserve">The reliability of this PCF analysis is dependent on the quality and availability of activity data and emission factors.</w:t>
      </w:r>
    </w:p>
    <w:p>
      <w:pPr>
        <w:numPr>
          <w:ilvl w:val="0"/>
          <w:numId w:val="1009"/>
        </w:numPr>
        <w:pStyle w:val="Compact"/>
      </w:pPr>
      <w:r>
        <w:rPr>
          <w:bCs/>
          <w:b/>
        </w:rPr>
        <w:t xml:space="preserve">Primary Data:</w:t>
      </w:r>
      <w:r>
        <w:t xml:space="preserve"> </w:t>
      </w:r>
      <w:r>
        <w:t xml:space="preserve">Where available (e.g., energy bills), primary data offers high reliability.</w:t>
      </w:r>
    </w:p>
    <w:p>
      <w:pPr>
        <w:numPr>
          <w:ilvl w:val="0"/>
          <w:numId w:val="1009"/>
        </w:numPr>
        <w:pStyle w:val="Compact"/>
      </w:pPr>
      <w:r>
        <w:rPr>
          <w:bCs/>
          <w:b/>
        </w:rPr>
        <w:t xml:space="preserve">Secondary Data:</w:t>
      </w:r>
      <w:r>
        <w:t xml:space="preserve"> </w:t>
      </w:r>
      <w:r>
        <w:t xml:space="preserve">Industry-average emission factors (e.g., Ecoinvent, DEFRA) are used for processes where primary data is not feasible to collect. These factors provide a good estimate but may not perfectly reflect ploiszkewl\'s specific supply chain or operational efficiencies.</w:t>
      </w:r>
    </w:p>
    <w:p>
      <w:pPr>
        <w:numPr>
          <w:ilvl w:val="0"/>
          <w:numId w:val="1009"/>
        </w:numPr>
        <w:pStyle w:val="Compact"/>
      </w:pPr>
      <w:r>
        <w:rPr>
          <w:bCs/>
          <w:b/>
        </w:rPr>
        <w:t xml:space="preserve">Illustrative Data:</w:t>
      </w:r>
      <w:r>
        <w:t xml:space="preserve"> </w:t>
      </w:r>
      <w:r>
        <w:t xml:space="preserve">For parameters provided as string placeholders, illustrative numerical data has been used. A full assessment would require specific, verifiable data for these inputs (e.g., actual transport distances, exact energy intensity, precise BOM quantities).</w:t>
      </w:r>
    </w:p>
    <w:p>
      <w:pPr>
        <w:numPr>
          <w:ilvl w:val="0"/>
          <w:numId w:val="1009"/>
        </w:numPr>
        <w:pStyle w:val="Compact"/>
      </w:pPr>
      <w:r>
        <w:rPr>
          <w:bCs/>
          <w:b/>
        </w:rPr>
        <w:t xml:space="preserve">System Boundary:</w:t>
      </w:r>
      <w:r>
        <w:t xml:space="preserve"> </w:t>
      </w:r>
      <w:r>
        <w:t xml:space="preserve">The \'factory_gate\' boundary for Scope 1 and 2 captures direct and purchased energy emissions well. The comprehensive Scope 3 coverage aims to capture significant value chain impacts.</w:t>
      </w:r>
    </w:p>
    <w:bookmarkEnd w:id="35"/>
    <w:bookmarkStart w:id="36" w:name="recommendations-for-ploiszkewl"/>
    <w:p>
      <w:pPr>
        <w:pStyle w:val="Heading3"/>
      </w:pPr>
      <w:r>
        <w:t xml:space="preserve">Recommendations for ploiszkewl</w:t>
      </w:r>
    </w:p>
    <w:p>
      <w:pPr>
        <w:numPr>
          <w:ilvl w:val="0"/>
          <w:numId w:val="1010"/>
        </w:numPr>
        <w:pStyle w:val="Compact"/>
      </w:pPr>
      <w:r>
        <w:rPr>
          <w:bCs/>
          <w:b/>
        </w:rPr>
        <w:t xml:space="preserve">Optimize Use Phase:</w:t>
      </w:r>
      <w:r>
        <w:t xml:space="preserve"> </w:t>
      </w:r>
      <w:r>
        <w:t xml:space="preserve">Invest in R&amp;D to enhance the energy efficiency of pkowyowozt during its operational life (zzoekugpnu). Consider providing guidance to end-users on renewable energy options.</w:t>
      </w:r>
    </w:p>
    <w:p>
      <w:pPr>
        <w:numPr>
          <w:ilvl w:val="0"/>
          <w:numId w:val="1010"/>
        </w:numPr>
        <w:pStyle w:val="Compact"/>
      </w:pPr>
      <w:r>
        <w:rPr>
          <w:bCs/>
          <w:b/>
        </w:rPr>
        <w:t xml:space="preserve">Sustainable Material Sourcing:</w:t>
      </w:r>
      <w:r>
        <w:t xml:space="preserve"> </w:t>
      </w:r>
      <w:r>
        <w:t xml:space="preserve">Prioritize materials with lower carbon footprints. Increase the proportion of recycled content (lrfhrndppw) and explore bio-based alternatives where feasible. Collaborate closely with suppliers to obtain product-specific EPDs (Environmental Product Declarations) and promote their decarbonization.</w:t>
      </w:r>
    </w:p>
    <w:p>
      <w:pPr>
        <w:numPr>
          <w:ilvl w:val="0"/>
          <w:numId w:val="1010"/>
        </w:numPr>
        <w:pStyle w:val="Compact"/>
      </w:pPr>
      <w:r>
        <w:rPr>
          <w:bCs/>
          <w:b/>
        </w:rPr>
        <w:t xml:space="preserve">Renewable Energy in Manufacturing:</w:t>
      </w:r>
      <w:r>
        <w:t xml:space="preserve"> </w:t>
      </w:r>
      <w:r>
        <w:t xml:space="preserve">Accelerate the transition to 100% renewable energy for manufacturing operations in China (ftklwwdiqf). This could involve direct renewable energy purchasing, on-site generation, or procuring high-quality renewable energy certificates.</w:t>
      </w:r>
    </w:p>
    <w:p>
      <w:pPr>
        <w:numPr>
          <w:ilvl w:val="0"/>
          <w:numId w:val="1010"/>
        </w:numPr>
        <w:pStyle w:val="Compact"/>
      </w:pPr>
      <w:r>
        <w:rPr>
          <w:bCs/>
          <w:b/>
        </w:rPr>
        <w:t xml:space="preserve">Logistics Optimization:</w:t>
      </w:r>
      <w:r>
        <w:t xml:space="preserve"> </w:t>
      </w:r>
      <w:r>
        <w:t xml:space="preserve">Seek opportunities to optimize transport modes (Select Mode) and distances (ftgsxopukt). Prioritize high-efficiency carriers and explore alternative fuels for logistics partners.</w:t>
      </w:r>
    </w:p>
    <w:p>
      <w:pPr>
        <w:numPr>
          <w:ilvl w:val="0"/>
          <w:numId w:val="1010"/>
        </w:numPr>
        <w:pStyle w:val="Compact"/>
      </w:pPr>
      <w:r>
        <w:rPr>
          <w:bCs/>
          <w:b/>
        </w:rPr>
        <w:t xml:space="preserve">Enhance Circularity:</w:t>
      </w:r>
      <w:r>
        <w:t xml:space="preserve"> </w:t>
      </w:r>
      <w:r>
        <w:t xml:space="preserve">Further develop and promote circular/take-back programs (kspidxrdei) for pkowyowozt to extend product life and maximize material recovery at End-of-Life, reducing reliance on virgin materials.</w:t>
      </w:r>
    </w:p>
    <w:p>
      <w:pPr>
        <w:numPr>
          <w:ilvl w:val="0"/>
          <w:numId w:val="1010"/>
        </w:numPr>
        <w:pStyle w:val="Compact"/>
      </w:pPr>
      <w:r>
        <w:rPr>
          <w:bCs/>
          <w:b/>
        </w:rPr>
        <w:t xml:space="preserve">Data Granularity:</w:t>
      </w:r>
      <w:r>
        <w:t xml:space="preserve"> </w:t>
      </w:r>
      <w:r>
        <w:t xml:space="preserve">For future PCF analyses, strive to collect more granular, primary data for all parameters to improve the accuracy and specificity of the calculations.</w: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pkowyowozt</dc:title>
  <dc:creator/>
  <dc:description>High-detail Product Carbon Footprint (PCF) analysis report for pkowyowozt, adhering to GHG Protocol standards, conducted by jxtwljjvov, Senior Sustainability Consultant.</dc:description>
  <cp:keywords/>
  <dcterms:created xsi:type="dcterms:W3CDTF">2026-07-15T11:36:20Z</dcterms:created>
  <dcterms:modified xsi:type="dcterms:W3CDTF">2026-07-15T11:36:20Z</dcterms:modified>
</cp:coreProperties>
</file>

<file path=docProps/custom.xml><?xml version="1.0" encoding="utf-8"?>
<Properties xmlns="http://schemas.openxmlformats.org/officeDocument/2006/custom-properties" xmlns:vt="http://schemas.openxmlformats.org/officeDocument/2006/docPropsVTypes"/>
</file>