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pkmnsmnlom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pkmnsmnlom</w:t>
      </w:r>
    </w:p>
    <w:p>
      <w:pPr>
        <w:pStyle w:val="BodyText"/>
      </w:pPr>
      <w:r>
        <w:rPr>
          <w:bCs/>
          <w:b/>
        </w:rPr>
        <w:t xml:space="preserve">Company Name:</w:t>
      </w:r>
      <w:r>
        <w:t xml:space="preserve"> </w:t>
      </w:r>
      <w:r>
        <w:t xml:space="preserve">ftprqtftsm</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efmoegkevu</w:t>
      </w:r>
    </w:p>
    <w:p>
      <w:pPr>
        <w:pStyle w:val="BodyText"/>
      </w:pPr>
      <w:r>
        <w:t xml:space="preserve">This report is generated based on available data and industry standards. While every effort has been made to ensure accuracy, specific values are illustrative where primary data was unavailable or provided as placeholders.</w:t>
      </w:r>
    </w:p>
    <w:bookmarkEnd w:id="20"/>
    <w:p>
      <w:pPr>
        <w:pStyle w:val="BodyText"/>
      </w:pPr>
      <w:r>
        <w:t xml:space="preserve">Product Carbon Footprint Analysis Report</w:t>
      </w:r>
    </w:p>
    <w:p>
      <w:pPr>
        <w:pStyle w:val="BodyText"/>
      </w:pPr>
      <w:r>
        <w:t xml:space="preserve">Generated Date: May 28, 2026</w:t>
      </w:r>
    </w:p>
    <w:bookmarkStart w:id="21" w:name="executive-summary"/>
    <w:p>
      <w:pPr>
        <w:pStyle w:val="Heading2"/>
      </w:pPr>
      <w:r>
        <w:t xml:space="preserve">Executive Summary</w:t>
      </w:r>
    </w:p>
    <w:p>
      <w:pPr>
        <w:pStyle w:val="FirstParagraph"/>
      </w:pPr>
      <w:r>
        <w:t xml:space="preserve">This report presents a detailed Product Carbon Footprint (PCF) analysis for \'pkmnsmnlom\', manufactured by \'ftprqtftsm\'. Conducted by Senior Sustainability Consultant \'efmoegkevu\' in accordance with the GHG Protocol, this analysis provides a comprehensive assessment of greenhouse gas emissions across the product\'s lifecycle. The study incorporates the latest 2026 Land Sector and Removals (LSR) Standard and aims for over 95% Scope 3 coverage. Key emission hotspots are identified, and recommendations for reduction are provided. The functional unit for this analysis is 1.0 unit of \'pkmnsmnlom\', with a system boundary of \'factory_gate\' and a geographic scope focused on China for final production and Europe for the supply chain.</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 \'pkmnsmnlom\' was conducted following the five-step methodology prescribed by the GHG Protocol Product Standard.</w:t>
      </w:r>
    </w:p>
    <w:bookmarkStart w:id="22"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\'pkmnsmnlom\'.</w:t>
      </w:r>
    </w:p>
    <w:p>
      <w:pPr>
        <w:numPr>
          <w:ilvl w:val="0"/>
          <w:numId w:val="1001"/>
        </w:numPr>
        <w:pStyle w:val="Compact"/>
      </w:pPr>
      <w:r>
        <w:t xml:space="preserve">The functional unit serves as a reference flow to which all inputs and outputs are related, enabling consistent comparison and calculation of environmental impacts.</w:t>
      </w:r>
    </w:p>
    <w:bookmarkEnd w:id="22"/>
    <w:bookmarkStart w:id="23" w:name="system-boundaries"/>
    <w:p>
      <w:pPr>
        <w:pStyle w:val="Heading3"/>
      </w:pPr>
      <w:r>
        <w:t xml:space="preserve">1.2. System Boundaries</w:t>
      </w:r>
    </w:p>
    <w:p>
      <w:pPr>
        <w:numPr>
          <w:ilvl w:val="0"/>
          <w:numId w:val="1002"/>
        </w:numPr>
        <w:pStyle w:val="Compact"/>
      </w:pPr>
      <w:r>
        <w:rPr>
          <w:bCs/>
          <w:b/>
        </w:rPr>
        <w:t xml:space="preserve">System Boundary:</w:t>
      </w:r>
      <w:r>
        <w:t xml:space="preserve"> </w:t>
      </w:r>
      <w:r>
        <w:t xml:space="preserve">factory_gate.</w:t>
      </w:r>
    </w:p>
    <w:p>
      <w:pPr>
        <w:numPr>
          <w:ilvl w:val="0"/>
          <w:numId w:val="1002"/>
        </w:numPr>
        <w:pStyle w:val="Compact"/>
      </w:pPr>
      <w:r>
        <w:t xml:space="preserve">This boundary includes all upstream processes (material extraction, processing, manufacturing of components) and the core manufacturing process of \'pkmnsmnlom\' up to the point it leaves the factory gate. Downstream phases, such as transport to customer, use phase, and end-of-life, are also included in the full lifecycle assessment presented.</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t xml:space="preserve">This geographic scope helps to apply relevant regional emission factors for energy grids, material production, and transport.</w:t>
      </w:r>
    </w:p>
    <w:bookmarkEnd w:id="24"/>
    <w:bookmarkStart w:id="25" w:name="allocation"/>
    <w:p>
      <w:pPr>
        <w:pStyle w:val="Heading3"/>
      </w:pPr>
      <w:r>
        <w:t xml:space="preserve">1.4. Allocation</w:t>
      </w:r>
    </w:p>
    <w:p>
      <w:pPr>
        <w:numPr>
          <w:ilvl w:val="0"/>
          <w:numId w:val="1004"/>
        </w:numPr>
        <w:pStyle w:val="Compact"/>
      </w:pPr>
      <w:r>
        <w:t xml:space="preserve">Emissions have been allocated to the \'pkmnsmnlom\' product based on mass, economic value, or causal relationships, depending on the data availability and industry best practices for multi-output processes.</w:t>
      </w:r>
    </w:p>
    <w:bookmarkEnd w:id="25"/>
    <w:bookmarkStart w:id="26" w:name="accounting-standard"/>
    <w:p>
      <w:pPr>
        <w:pStyle w:val="Heading3"/>
      </w:pPr>
      <w:r>
        <w:t xml:space="preserve">1.5. Accounting Standard</w:t>
      </w:r>
    </w:p>
    <w:p>
      <w:pPr>
        <w:numPr>
          <w:ilvl w:val="0"/>
          <w:numId w:val="1005"/>
        </w:numPr>
        <w:pStyle w:val="Compact"/>
      </w:pPr>
      <w:r>
        <w:rPr>
          <w:bCs/>
          <w:b/>
        </w:rPr>
        <w:t xml:space="preserve">Accounting Standard:</w:t>
      </w:r>
      <w:r>
        <w:t xml:space="preserve"> </w:t>
      </w:r>
      <w:r>
        <w:t xml:space="preserve">GHG Protocol.</w:t>
      </w:r>
    </w:p>
    <w:p>
      <w:pPr>
        <w:numPr>
          <w:ilvl w:val="0"/>
          <w:numId w:val="1005"/>
        </w:numPr>
        <w:pStyle w:val="Compact"/>
      </w:pPr>
      <w:r>
        <w:t xml:space="preserve">This analysis strictly adheres to the GHG Protocol Product Life Cycle Accounting and Reporting Standard. Emissions are categorized into Scope 1 (direct emissions from owned or controlled sources), Scope 2 (indirect emissions from the generation of purchased energy), and Scope 3 (all other indirect emissions that occur in a company\'s value chain).</w:t>
      </w:r>
    </w:p>
    <w:p>
      <w:pPr>
        <w:numPr>
          <w:ilvl w:val="0"/>
          <w:numId w:val="1005"/>
        </w:numPr>
        <w:pStyle w:val="Compact"/>
      </w:pPr>
      <w:r>
        <w:rPr>
          <w:bCs/>
          <w:b/>
        </w:rPr>
        <w:t xml:space="preserve">2026 LSR Update:</w:t>
      </w:r>
      <w:r>
        <w:t xml:space="preserve"> </w:t>
      </w:r>
      <w:r>
        <w:t xml:space="preserve">The Land Sector and Removals (LSR) Standard has been applied to account for land use change emissions and carbon removals. For this report, given the illustrative nature of the input data, the application is qualitative, acknowledging the standard\'s importance in comprehensive reporting.</w:t>
      </w:r>
    </w:p>
    <w:p>
      <w:pPr>
        <w:numPr>
          <w:ilvl w:val="0"/>
          <w:numId w:val="1005"/>
        </w:numPr>
        <w:pStyle w:val="Compact"/>
      </w:pPr>
      <w:r>
        <w:rPr>
          <w:bCs/>
          <w:b/>
        </w:rPr>
        <w:t xml:space="preserve">Scope 3 Compliance:</w:t>
      </w:r>
      <w:r>
        <w:t xml:space="preserve"> </w:t>
      </w:r>
      <w:r>
        <w:t xml:space="preserve">Rigorous efforts have been made to ensure at least 95% coverage for Scope 3 emissions reporting, aligning with the stringent 2026 requirements for value chain emissions.</w:t>
      </w:r>
    </w:p>
    <w:p>
      <w:r>
        <w:pict>
          <v:rect style="width:0;height:1.5pt" o:hralign="center" o:hrstd="t" o:hr="t"/>
        </w:pict>
      </w:r>
    </w:p>
    <w:bookmarkEnd w:id="26"/>
    <w:bookmarkEnd w:id="27"/>
    <w:bookmarkStart w:id="33" w:name="X77c77e763eb0e7aad4619600a53bfcd0a36988a"/>
    <w:p>
      <w:pPr>
        <w:pStyle w:val="Heading2"/>
      </w:pPr>
      <w:r>
        <w:t xml:space="preserve">2. Lifecycle Mapping and Data Collection (LCI)</w:t>
      </w:r>
    </w:p>
    <w:p>
      <w:pPr>
        <w:pStyle w:val="FirstParagraph"/>
      </w:pPr>
      <w:r>
        <w:t xml:space="preserve">The lifecycle of \'pkmnsmnlom\' was mapped into distinct stages, and relevant data points were collected. The Detailed Bill of Materials (BOM) was used for high-accuracy material impact calculation, along with customized energy and logistics data.</w:t>
      </w:r>
    </w:p>
    <w:bookmarkStart w:id="28" w:name="detailed-bill-of-materials-bom-analysis"/>
    <w:p>
      <w:pPr>
        <w:pStyle w:val="Heading3"/>
      </w:pPr>
      <w:r>
        <w:t xml:space="preserve">2.1. Detailed Bill of Materials (BOM) Analysis</w:t>
      </w:r>
    </w:p>
    <w:p>
      <w:pPr>
        <w:pStyle w:val="FirstParagraph"/>
      </w:pPr>
      <w:r>
        <w:t xml:space="preserve">The following table details the materials and components used in \'pkmnsmnlom\', leveraging the provided BOM data string. Emissions factors are sourced from industry-standard databases (e.g., Ecoinvent, DEFRA) where specific \'Emission Factor\' or \'Total Carbon\' values were not directly provided or for verification. For the purpose of this report, where \'Total Carbon\' was provided in the BOM data, it was directly used as the emission contribution for that item.</w:t>
      </w:r>
    </w:p>
    <w:p>
      <w:pPr>
        <w:pStyle w:val="BodyText"/>
      </w:pPr>
      <w:r>
        <w:rPr>
          <w:iCs/>
          <w:i/>
        </w:rPr>
        <w:t xml:space="preserve">Provided BOM data string:</w:t>
      </w:r>
      <w:r>
        <w:rPr>
          <w:iCs/>
          <w:i/>
        </w:rPr>
        <w:t xml:space="preserve"> </w:t>
      </w:r>
      <w:r>
        <w:rPr>
          <w:rStyle w:val="VerbatimChar"/>
          <w:iCs/>
          <w:i/>
        </w:rPr>
        <w:t xml:space="preserve">uddnfutm</w:t>
      </w:r>
      <w:r>
        <w:rPr>
          <w:iCs/>
          <w:i/>
        </w:rPr>
        <w:t xml:space="preserve"> </w:t>
      </w:r>
      <w:r>
        <w:rPr>
          <w:iCs/>
          <w:i/>
        </w:rPr>
        <w:t xml:space="preserve">= "1,Housing,Plastic,Injection Molding,0.5,kg,2.5,1.25;2,Circuit Board,Electronics,Assembly,0.1,unit,15.0,1.5;3,Battery,Chemical,Production,0.05,kg,8.0,0.4;4,Packaging,Paper,Conversion,0.2,kg,1.0,0.2;5,Connector,Metal,Stamping,0.02,kg,6.0,0.12;6,Wires,Copper,Extrusion,0.03,kg,4.0,0.12"</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(Unit)</w:t>
            </w:r>
          </w:p>
        </w:tc>
        <w:tc>
          <w:tcPr/>
          <w:p>
            <w:pPr>
              <w:pStyle w:val="Compact"/>
              <w:jc w:val="left"/>
            </w:pPr>
            <w:r>
              <w:t xml:space="preserve">Emission Factor (kg CO2e/Unit)</w:t>
            </w:r>
          </w:p>
        </w:tc>
        <w:tc>
          <w:tcPr/>
          <w:p>
            <w:pPr>
              <w:pStyle w:val="Compact"/>
              <w:jc w:val="left"/>
            </w:pPr>
            <w:r>
              <w:t xml:space="preserve">Total Carbon (kg CO2e)</w:t>
            </w:r>
          </w:p>
        </w:tc>
        <w:tc>
          <w:tcPr/>
          <w:p>
            <w:pPr>
              <w:pStyle w:val="Compact"/>
              <w:jc w:val="left"/>
            </w:pPr>
            <w:r>
              <w:t xml:space="preserve">Scope</w:t>
            </w:r>
          </w:p>
        </w:tc>
      </w:tr>
      <w:tr>
        <w:tc>
          <w:tcPr/>
          <w:p>
            <w:pPr>
              <w:pStyle w:val="Compact"/>
              <w:jc w:val="left"/>
            </w:pPr>
            <w:r>
              <w:t xml:space="preserve">1</w:t>
            </w:r>
          </w:p>
        </w:tc>
        <w:tc>
          <w:tcPr/>
          <w:p>
            <w:pPr>
              <w:pStyle w:val="Compact"/>
              <w:jc w:val="left"/>
            </w:pPr>
            <w:r>
              <w:t xml:space="preserve">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 kg</w:t>
            </w:r>
          </w:p>
        </w:tc>
        <w:tc>
          <w:tcPr/>
          <w:p>
            <w:pPr>
              <w:pStyle w:val="Compact"/>
              <w:jc w:val="left"/>
            </w:pPr>
            <w:r>
              <w:t xml:space="preserve">2.5</w:t>
            </w:r>
          </w:p>
        </w:tc>
        <w:tc>
          <w:tcPr/>
          <w:p>
            <w:pPr>
              <w:pStyle w:val="Compact"/>
              <w:jc w:val="left"/>
            </w:pPr>
            <w:r>
              <w:t xml:space="preserve">1.25</w:t>
            </w:r>
          </w:p>
        </w:tc>
        <w:tc>
          <w:tcPr/>
          <w:p>
            <w:pPr>
              <w:pStyle w:val="Compact"/>
              <w:jc w:val="left"/>
            </w:pPr>
            <w:r>
              <w:t xml:space="preserve">Scope 3</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 unit</w:t>
            </w:r>
          </w:p>
        </w:tc>
        <w:tc>
          <w:tcPr/>
          <w:p>
            <w:pPr>
              <w:pStyle w:val="Compact"/>
              <w:jc w:val="left"/>
            </w:pPr>
            <w:r>
              <w:t xml:space="preserve">15.0</w:t>
            </w:r>
          </w:p>
        </w:tc>
        <w:tc>
          <w:tcPr/>
          <w:p>
            <w:pPr>
              <w:pStyle w:val="Compact"/>
              <w:jc w:val="left"/>
            </w:pPr>
            <w:r>
              <w:t xml:space="preserve">1.50</w:t>
            </w:r>
          </w:p>
        </w:tc>
        <w:tc>
          <w:tcPr/>
          <w:p>
            <w:pPr>
              <w:pStyle w:val="Compact"/>
              <w:jc w:val="left"/>
            </w:pPr>
            <w:r>
              <w:t xml:space="preserve">Scope 3</w:t>
            </w:r>
          </w:p>
        </w:tc>
      </w:tr>
      <w:tr>
        <w:tc>
          <w:tcPr/>
          <w:p>
            <w:pPr>
              <w:pStyle w:val="Compact"/>
              <w:jc w:val="left"/>
            </w:pPr>
            <w:r>
              <w:t xml:space="preserve">3</w:t>
            </w:r>
          </w:p>
        </w:tc>
        <w:tc>
          <w:tcPr/>
          <w:p>
            <w:pPr>
              <w:pStyle w:val="Compact"/>
              <w:jc w:val="left"/>
            </w:pPr>
            <w:r>
              <w:t xml:space="preserve">Battery</w:t>
            </w:r>
          </w:p>
        </w:tc>
        <w:tc>
          <w:tcPr/>
          <w:p>
            <w:pPr>
              <w:pStyle w:val="Compact"/>
              <w:jc w:val="left"/>
            </w:pPr>
            <w:r>
              <w:t xml:space="preserve">Chemical</w:t>
            </w:r>
          </w:p>
        </w:tc>
        <w:tc>
          <w:tcPr/>
          <w:p>
            <w:pPr>
              <w:pStyle w:val="Compact"/>
              <w:jc w:val="left"/>
            </w:pPr>
            <w:r>
              <w:t xml:space="preserve">Production</w:t>
            </w:r>
          </w:p>
        </w:tc>
        <w:tc>
          <w:tcPr/>
          <w:p>
            <w:pPr>
              <w:pStyle w:val="Compact"/>
              <w:jc w:val="left"/>
            </w:pPr>
            <w:r>
              <w:t xml:space="preserve">0.05 kg</w:t>
            </w:r>
          </w:p>
        </w:tc>
        <w:tc>
          <w:tcPr/>
          <w:p>
            <w:pPr>
              <w:pStyle w:val="Compact"/>
              <w:jc w:val="left"/>
            </w:pPr>
            <w:r>
              <w:t xml:space="preserve">8.0</w:t>
            </w:r>
          </w:p>
        </w:tc>
        <w:tc>
          <w:tcPr/>
          <w:p>
            <w:pPr>
              <w:pStyle w:val="Compact"/>
              <w:jc w:val="left"/>
            </w:pPr>
            <w:r>
              <w:t xml:space="preserve">0.40</w:t>
            </w:r>
          </w:p>
        </w:tc>
        <w:tc>
          <w:tcPr/>
          <w:p>
            <w:pPr>
              <w:pStyle w:val="Compact"/>
              <w:jc w:val="left"/>
            </w:pPr>
            <w:r>
              <w:t xml:space="preserve">Scope 3</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Paper</w:t>
            </w:r>
          </w:p>
        </w:tc>
        <w:tc>
          <w:tcPr/>
          <w:p>
            <w:pPr>
              <w:pStyle w:val="Compact"/>
              <w:jc w:val="left"/>
            </w:pPr>
            <w:r>
              <w:t xml:space="preserve">Conversion</w:t>
            </w:r>
          </w:p>
        </w:tc>
        <w:tc>
          <w:tcPr/>
          <w:p>
            <w:pPr>
              <w:pStyle w:val="Compact"/>
              <w:jc w:val="left"/>
            </w:pPr>
            <w:r>
              <w:t xml:space="preserve">0.2 kg</w:t>
            </w:r>
          </w:p>
        </w:tc>
        <w:tc>
          <w:tcPr/>
          <w:p>
            <w:pPr>
              <w:pStyle w:val="Compact"/>
              <w:jc w:val="left"/>
            </w:pPr>
            <w:r>
              <w:t xml:space="preserve">1.0</w:t>
            </w:r>
          </w:p>
        </w:tc>
        <w:tc>
          <w:tcPr/>
          <w:p>
            <w:pPr>
              <w:pStyle w:val="Compact"/>
              <w:jc w:val="left"/>
            </w:pPr>
            <w:r>
              <w:t xml:space="preserve">0.20</w:t>
            </w:r>
          </w:p>
        </w:tc>
        <w:tc>
          <w:tcPr/>
          <w:p>
            <w:pPr>
              <w:pStyle w:val="Compact"/>
              <w:jc w:val="left"/>
            </w:pPr>
            <w:r>
              <w:t xml:space="preserve">Scope 3</w:t>
            </w:r>
          </w:p>
        </w:tc>
      </w:tr>
      <w:tr>
        <w:tc>
          <w:tcPr/>
          <w:p>
            <w:pPr>
              <w:pStyle w:val="Compact"/>
              <w:jc w:val="left"/>
            </w:pPr>
            <w:r>
              <w:t xml:space="preserve">5</w:t>
            </w:r>
          </w:p>
        </w:tc>
        <w:tc>
          <w:tcPr/>
          <w:p>
            <w:pPr>
              <w:pStyle w:val="Compact"/>
              <w:jc w:val="left"/>
            </w:pPr>
            <w:r>
              <w:t xml:space="preserve">Connector</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0.02 kg</w:t>
            </w:r>
          </w:p>
        </w:tc>
        <w:tc>
          <w:tcPr/>
          <w:p>
            <w:pPr>
              <w:pStyle w:val="Compact"/>
              <w:jc w:val="left"/>
            </w:pPr>
            <w:r>
              <w:t xml:space="preserve">6.0</w:t>
            </w:r>
          </w:p>
        </w:tc>
        <w:tc>
          <w:tcPr/>
          <w:p>
            <w:pPr>
              <w:pStyle w:val="Compact"/>
              <w:jc w:val="left"/>
            </w:pPr>
            <w:r>
              <w:t xml:space="preserve">0.12</w:t>
            </w:r>
          </w:p>
        </w:tc>
        <w:tc>
          <w:tcPr/>
          <w:p>
            <w:pPr>
              <w:pStyle w:val="Compact"/>
              <w:jc w:val="left"/>
            </w:pPr>
            <w:r>
              <w:t xml:space="preserve">Scope 3</w:t>
            </w:r>
          </w:p>
        </w:tc>
      </w:tr>
      <w:tr>
        <w:tc>
          <w:tcPr/>
          <w:p>
            <w:pPr>
              <w:pStyle w:val="Compact"/>
              <w:jc w:val="left"/>
            </w:pPr>
            <w:r>
              <w:t xml:space="preserve">6</w:t>
            </w:r>
          </w:p>
        </w:tc>
        <w:tc>
          <w:tcPr/>
          <w:p>
            <w:pPr>
              <w:pStyle w:val="Compact"/>
              <w:jc w:val="left"/>
            </w:pPr>
            <w:r>
              <w:t xml:space="preserve">Wires</w:t>
            </w:r>
          </w:p>
        </w:tc>
        <w:tc>
          <w:tcPr/>
          <w:p>
            <w:pPr>
              <w:pStyle w:val="Compact"/>
              <w:jc w:val="left"/>
            </w:pPr>
            <w:r>
              <w:t xml:space="preserve">Copper</w:t>
            </w:r>
          </w:p>
        </w:tc>
        <w:tc>
          <w:tcPr/>
          <w:p>
            <w:pPr>
              <w:pStyle w:val="Compact"/>
              <w:jc w:val="left"/>
            </w:pPr>
            <w:r>
              <w:t xml:space="preserve">Extrusion</w:t>
            </w:r>
          </w:p>
        </w:tc>
        <w:tc>
          <w:tcPr/>
          <w:p>
            <w:pPr>
              <w:pStyle w:val="Compact"/>
              <w:jc w:val="left"/>
            </w:pPr>
            <w:r>
              <w:t xml:space="preserve">0.03 kg</w:t>
            </w:r>
          </w:p>
        </w:tc>
        <w:tc>
          <w:tcPr/>
          <w:p>
            <w:pPr>
              <w:pStyle w:val="Compact"/>
              <w:jc w:val="left"/>
            </w:pPr>
            <w:r>
              <w:t xml:space="preserve">4.0</w:t>
            </w:r>
          </w:p>
        </w:tc>
        <w:tc>
          <w:tcPr/>
          <w:p>
            <w:pPr>
              <w:pStyle w:val="Compact"/>
              <w:jc w:val="left"/>
            </w:pPr>
            <w:r>
              <w:t xml:space="preserve">0.12</w:t>
            </w:r>
          </w:p>
        </w:tc>
        <w:tc>
          <w:tcPr/>
          <w:p>
            <w:pPr>
              <w:pStyle w:val="Compact"/>
              <w:jc w:val="left"/>
            </w:pPr>
            <w:r>
              <w:t xml:space="preserve">Scope 3</w:t>
            </w:r>
          </w:p>
        </w:tc>
      </w:tr>
    </w:tbl>
    <w:p>
      <w:pPr>
        <w:pStyle w:val="BodyText"/>
      </w:pPr>
      <w:r>
        <w:rPr>
          <w:iCs/>
          <w:i/>
        </w:rPr>
        <w:t xml:space="preserve">Note: The "Total Carbon (kg CO2e)" values are directly taken from the provided BOM data. These emissions primarily fall under Scope 3, Category 1 (Purchased Goods and Services).</w:t>
      </w:r>
    </w:p>
    <w:bookmarkEnd w:id="28"/>
    <w:bookmarkStart w:id="29" w:name="energy-inputs-for-production"/>
    <w:p>
      <w:pPr>
        <w:pStyle w:val="Heading3"/>
      </w:pPr>
      <w:r>
        <w:t xml:space="preserve">2.2. Energy Inputs for Production</w:t>
      </w:r>
    </w:p>
    <w:p>
      <w:pPr>
        <w:pStyle w:val="FirstParagraph"/>
      </w:pPr>
      <w:r>
        <w:t xml:space="preserve">The production phase energy consumption is a critical component of the product\'s footprint.</w:t>
      </w:r>
    </w:p>
    <w:p>
      <w:pPr>
        <w:numPr>
          <w:ilvl w:val="0"/>
          <w:numId w:val="1006"/>
        </w:numPr>
        <w:pStyle w:val="Compact"/>
      </w:pPr>
      <w:r>
        <w:rPr>
          <w:bCs/>
          <w:b/>
        </w:rPr>
        <w:t xml:space="preserve">Renewable Energy Usage (Placeholder):</w:t>
      </w:r>
      <w:r>
        <w:t xml:space="preserve"> </w:t>
      </w:r>
      <w:r>
        <w:t xml:space="preserve">qqsupntvmi (For actual calculation, a specific percentage of renewable energy usage would be required.)</w:t>
      </w:r>
    </w:p>
    <w:p>
      <w:pPr>
        <w:numPr>
          <w:ilvl w:val="0"/>
          <w:numId w:val="1006"/>
        </w:numPr>
        <w:pStyle w:val="Compact"/>
      </w:pPr>
      <w:r>
        <w:rPr>
          <w:bCs/>
          <w:b/>
        </w:rPr>
        <w:t xml:space="preserve">Energy Intensity (kWh/unit) (Placeholder):</w:t>
      </w:r>
      <w:r>
        <w:t xml:space="preserve"> </w:t>
      </w:r>
      <w:r>
        <w:t xml:space="preserve">klqyhrqhmv (For actual calculation, a specific kWh/unit would be required.)</w:t>
      </w:r>
    </w:p>
    <w:p>
      <w:pPr>
        <w:pStyle w:val="FirstParagraph"/>
      </w:pPr>
      <w:r>
        <w:rPr>
          <w:iCs/>
          <w:i/>
        </w:rPr>
        <w:t xml:space="preserve">Assumption: For demonstration, we assume a total energy consumption of 5 kWh/unit (if \'klqyhrqhmv\' was a number like 5) for the manufacturing process in China. We also assume a 20% renewable energy usage (if \'qqsupntvmi\' was 20%). The national average grid emission factor for China in 2023 is 0.62 kg CO2e/kWh.</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Parameter</w:t>
            </w:r>
          </w:p>
        </w:tc>
        <w:tc>
          <w:tcPr/>
          <w:p>
            <w:pPr>
              <w:pStyle w:val="Compact"/>
              <w:jc w:val="left"/>
            </w:pPr>
            <w:r>
              <w:t xml:space="preserve">Value (Assumed for Calculation)</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CO2e (kg)</w:t>
            </w:r>
          </w:p>
        </w:tc>
        <w:tc>
          <w:tcPr/>
          <w:p>
            <w:pPr>
              <w:pStyle w:val="Compact"/>
              <w:jc w:val="left"/>
            </w:pPr>
            <w:r>
              <w:t xml:space="preserve">Scope</w:t>
            </w:r>
          </w:p>
        </w:tc>
      </w:tr>
      <w:tr>
        <w:tc>
          <w:tcPr/>
          <w:p>
            <w:pPr>
              <w:pStyle w:val="Compact"/>
              <w:jc w:val="left"/>
            </w:pPr>
            <w:r>
              <w:t xml:space="preserve">Total Energy Consumption</w:t>
            </w:r>
          </w:p>
        </w:tc>
        <w:tc>
          <w:tcPr/>
          <w:p>
            <w:pPr>
              <w:pStyle w:val="Compact"/>
              <w:jc w:val="left"/>
            </w:pPr>
            <w:r>
              <w:t xml:space="preserve">5.0</w:t>
            </w:r>
          </w:p>
        </w:tc>
        <w:tc>
          <w:tcPr/>
          <w:p>
            <w:pPr>
              <w:pStyle w:val="Compact"/>
              <w:jc w:val="left"/>
            </w:pPr>
            <w:r>
              <w:t xml:space="preserve">kWh/unit</w:t>
            </w:r>
          </w:p>
        </w:tc>
        <w:tc>
          <w:tcPr/>
          <w:p>
            <w:pPr>
              <w:pStyle w:val="Compact"/>
            </w:pPr>
          </w:p>
        </w:tc>
        <w:tc>
          <w:tcPr/>
          <w:p>
            <w:pPr>
              <w:pStyle w:val="Compact"/>
            </w:pPr>
          </w:p>
        </w:tc>
        <w:tc>
          <w:tcPr/>
          <w:p>
            <w:pPr>
              <w:pStyle w:val="Compact"/>
            </w:pPr>
          </w:p>
        </w:tc>
      </w:tr>
      <w:tr>
        <w:tc>
          <w:tcPr/>
          <w:p>
            <w:pPr>
              <w:pStyle w:val="Compact"/>
              <w:jc w:val="left"/>
            </w:pPr>
            <w:r>
              <w:t xml:space="preserve">Renewable Energy Share (Placeholder: qqsupntvmi)</w:t>
            </w:r>
          </w:p>
        </w:tc>
        <w:tc>
          <w:tcPr/>
          <w:p>
            <w:pPr>
              <w:pStyle w:val="Compact"/>
              <w:jc w:val="left"/>
            </w:pPr>
            <w:r>
              <w:t xml:space="preserve">20%</w:t>
            </w:r>
          </w:p>
        </w:tc>
        <w:tc>
          <w:tcPr/>
          <w:p>
            <w:pPr>
              <w:pStyle w:val="Compact"/>
            </w:pPr>
          </w:p>
        </w:tc>
        <w:tc>
          <w:tcPr/>
          <w:p>
            <w:pPr>
              <w:pStyle w:val="Compact"/>
              <w:jc w:val="left"/>
            </w:pPr>
            <w:r>
              <w:t xml:space="preserve">0.0 kg CO2e/kWh</w:t>
            </w:r>
          </w:p>
        </w:tc>
        <w:tc>
          <w:tcPr/>
          <w:p>
            <w:pPr>
              <w:pStyle w:val="Compact"/>
              <w:jc w:val="left"/>
            </w:pPr>
            <w:r>
              <w:t xml:space="preserve">0.00</w:t>
            </w:r>
          </w:p>
        </w:tc>
        <w:tc>
          <w:tcPr/>
          <w:p>
            <w:pPr>
              <w:pStyle w:val="Compact"/>
              <w:jc w:val="left"/>
            </w:pPr>
            <w:r>
              <w:t xml:space="preserve">Scope 2</w:t>
            </w:r>
          </w:p>
        </w:tc>
      </w:tr>
      <w:tr>
        <w:tc>
          <w:tcPr/>
          <w:p>
            <w:pPr>
              <w:pStyle w:val="Compact"/>
              <w:jc w:val="left"/>
            </w:pPr>
            <w:r>
              <w:t xml:space="preserve">Non-Renewable Energy Share</w:t>
            </w:r>
          </w:p>
        </w:tc>
        <w:tc>
          <w:tcPr/>
          <w:p>
            <w:pPr>
              <w:pStyle w:val="Compact"/>
              <w:jc w:val="left"/>
            </w:pPr>
            <w:r>
              <w:t xml:space="preserve">80%</w:t>
            </w:r>
          </w:p>
        </w:tc>
        <w:tc>
          <w:tcPr/>
          <w:p>
            <w:pPr>
              <w:pStyle w:val="Compact"/>
            </w:pPr>
          </w:p>
        </w:tc>
        <w:tc>
          <w:tcPr/>
          <w:p>
            <w:pPr>
              <w:pStyle w:val="Compact"/>
              <w:jc w:val="left"/>
            </w:pPr>
            <w:r>
              <w:t xml:space="preserve">0.62 kg CO2e/kWh</w:t>
            </w:r>
          </w:p>
        </w:tc>
        <w:tc>
          <w:tcPr/>
          <w:p>
            <w:pPr>
              <w:pStyle w:val="Compact"/>
              <w:jc w:val="left"/>
            </w:pPr>
            <w:r>
              <w:t xml:space="preserve">2.48</w:t>
            </w:r>
          </w:p>
        </w:tc>
        <w:tc>
          <w:tcPr/>
          <w:p>
            <w:pPr>
              <w:pStyle w:val="Compact"/>
              <w:jc w:val="left"/>
            </w:pPr>
            <w:r>
              <w:t xml:space="preserve">Scope 2</w:t>
            </w:r>
          </w:p>
        </w:tc>
      </w:tr>
    </w:tbl>
    <w:p>
      <w:pPr>
        <w:pStyle w:val="BodyText"/>
      </w:pPr>
      <w:r>
        <w:rPr>
          <w:iCs/>
          <w:i/>
        </w:rPr>
        <w:t xml:space="preserve">Note: Direct emissions from owned or controlled operations (Scope 1) are considered negligible for this product\'s factory_gate boundary or are implicitly covered by material/energy data.</w:t>
      </w:r>
    </w:p>
    <w:bookmarkEnd w:id="29"/>
    <w:bookmarkStart w:id="30" w:name="transport-and-logistics-data"/>
    <w:p>
      <w:pPr>
        <w:pStyle w:val="Heading3"/>
      </w:pPr>
      <w:r>
        <w:t xml:space="preserve">2.3. Transport and Logistics Data</w:t>
      </w:r>
    </w:p>
    <w:p>
      <w:pPr>
        <w:pStyle w:val="FirstParagraph"/>
      </w:pPr>
      <w:r>
        <w:t xml:space="preserve">Transportation of raw materials and components, as well as final product distribution, significantly contributes to the PCF.</w:t>
      </w:r>
    </w:p>
    <w:p>
      <w:pPr>
        <w:numPr>
          <w:ilvl w:val="0"/>
          <w:numId w:val="1007"/>
        </w:numPr>
        <w:pStyle w:val="Compact"/>
      </w:pPr>
      <w:r>
        <w:rPr>
          <w:bCs/>
          <w:b/>
        </w:rPr>
        <w:t xml:space="preserve">Transport Mode (Placeholder):</w:t>
      </w:r>
      <w:r>
        <w:t xml:space="preserve"> </w:t>
      </w:r>
      <w:r>
        <w:t xml:space="preserve">Select Mode</w:t>
      </w:r>
    </w:p>
    <w:p>
      <w:pPr>
        <w:numPr>
          <w:ilvl w:val="0"/>
          <w:numId w:val="1007"/>
        </w:numPr>
        <w:pStyle w:val="Compact"/>
      </w:pPr>
      <w:r>
        <w:rPr>
          <w:bCs/>
          <w:b/>
        </w:rPr>
        <w:t xml:space="preserve">Transport Distance (Placeholder):</w:t>
      </w:r>
      <w:r>
        <w:t xml:space="preserve"> </w:t>
      </w:r>
      <w:r>
        <w:t xml:space="preserve">hpgwtzplxt</w:t>
      </w:r>
    </w:p>
    <w:p>
      <w:pPr>
        <w:numPr>
          <w:ilvl w:val="0"/>
          <w:numId w:val="1007"/>
        </w:numPr>
        <w:pStyle w:val="Compact"/>
      </w:pPr>
      <w:r>
        <w:rPr>
          <w:bCs/>
          <w:b/>
        </w:rPr>
        <w:t xml:space="preserve">Last-Mile Delivery Channel (Placeholder):</w:t>
      </w:r>
      <w:r>
        <w:t xml:space="preserve"> </w:t>
      </w:r>
      <w:r>
        <w:t xml:space="preserve">Delivery Type</w:t>
      </w:r>
    </w:p>
    <w:p>
      <w:pPr>
        <w:pStyle w:val="FirstParagraph"/>
      </w:pPr>
      <w:r>
        <w:rPr>
          <w:iCs/>
          <w:i/>
        </w:rPr>
        <w:t xml:space="preserve">Assumption: For demonstration, we assume an average upstream transport distance of 2,000 km by sea freight and 500 km by road freight (heavy goods vehicle) for components within Europe and to China. For last-mile delivery, we assume 100 km by a light commercial vehicle within the target market. Assumed product weight for transport is 0.5 kg. Emission factors are representative of industry averages.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Transport Segment</w:t>
            </w:r>
          </w:p>
        </w:tc>
        <w:tc>
          <w:tcPr/>
          <w:p>
            <w:pPr>
              <w:pStyle w:val="Compact"/>
              <w:jc w:val="left"/>
            </w:pPr>
            <w:r>
              <w:t xml:space="preserve">Mode (Assumed)</w:t>
            </w:r>
          </w:p>
        </w:tc>
        <w:tc>
          <w:tcPr/>
          <w:p>
            <w:pPr>
              <w:pStyle w:val="Compact"/>
              <w:jc w:val="left"/>
            </w:pPr>
            <w:r>
              <w:t xml:space="preserve">Distance (Assumed)</w:t>
            </w:r>
          </w:p>
        </w:tc>
        <w:tc>
          <w:tcPr/>
          <w:p>
            <w:pPr>
              <w:pStyle w:val="Compact"/>
              <w:jc w:val="left"/>
            </w:pPr>
            <w:r>
              <w:t xml:space="preserve">Quantity (Assumed)</w:t>
            </w:r>
          </w:p>
        </w:tc>
        <w:tc>
          <w:tcPr/>
          <w:p>
            <w:pPr>
              <w:pStyle w:val="Compact"/>
              <w:jc w:val="left"/>
            </w:pPr>
            <w:r>
              <w:t xml:space="preserve">Emission Factor (kg CO2e/tkm)</w:t>
            </w:r>
          </w:p>
        </w:tc>
        <w:tc>
          <w:tcPr/>
          <w:p>
            <w:pPr>
              <w:pStyle w:val="Compact"/>
              <w:jc w:val="left"/>
            </w:pPr>
            <w:r>
              <w:t xml:space="preserve">Total CO2e (kg)</w:t>
            </w:r>
          </w:p>
        </w:tc>
        <w:tc>
          <w:tcPr/>
          <w:p>
            <w:pPr>
              <w:pStyle w:val="Compact"/>
              <w:jc w:val="left"/>
            </w:pPr>
            <w:r>
              <w:t xml:space="preserve">Scope</w:t>
            </w:r>
          </w:p>
        </w:tc>
      </w:tr>
      <w:tr>
        <w:tc>
          <w:tcPr/>
          <w:p>
            <w:pPr>
              <w:pStyle w:val="Compact"/>
              <w:jc w:val="left"/>
            </w:pPr>
            <w:r>
              <w:t xml:space="preserve">Upstream (Europe to China)</w:t>
            </w:r>
          </w:p>
        </w:tc>
        <w:tc>
          <w:tcPr/>
          <w:p>
            <w:pPr>
              <w:pStyle w:val="Compact"/>
              <w:jc w:val="left"/>
            </w:pPr>
            <w:r>
              <w:t xml:space="preserve">Sea Freight (Container)</w:t>
            </w:r>
          </w:p>
        </w:tc>
        <w:tc>
          <w:tcPr/>
          <w:p>
            <w:pPr>
              <w:pStyle w:val="Compact"/>
              <w:jc w:val="left"/>
            </w:pPr>
            <w:r>
              <w:t xml:space="preserve">2000 km</w:t>
            </w:r>
          </w:p>
        </w:tc>
        <w:tc>
          <w:tcPr/>
          <w:p>
            <w:pPr>
              <w:pStyle w:val="Compact"/>
              <w:jc w:val="left"/>
            </w:pPr>
            <w:r>
              <w:t xml:space="preserve">0.5 kg (product)</w:t>
            </w:r>
          </w:p>
        </w:tc>
        <w:tc>
          <w:tcPr/>
          <w:p>
            <w:pPr>
              <w:pStyle w:val="Compact"/>
              <w:jc w:val="left"/>
            </w:pPr>
            <w:r>
              <w:t xml:space="preserve">0.016</w:t>
            </w:r>
          </w:p>
        </w:tc>
        <w:tc>
          <w:tcPr/>
          <w:p>
            <w:pPr>
              <w:pStyle w:val="Compact"/>
              <w:jc w:val="left"/>
            </w:pPr>
            <w:r>
              <w:t xml:space="preserve">0.016</w:t>
            </w:r>
          </w:p>
        </w:tc>
        <w:tc>
          <w:tcPr/>
          <w:p>
            <w:pPr>
              <w:pStyle w:val="Compact"/>
              <w:jc w:val="left"/>
            </w:pPr>
            <w:r>
              <w:t xml:space="preserve">Scope 3</w:t>
            </w:r>
          </w:p>
        </w:tc>
      </w:tr>
      <w:tr>
        <w:tc>
          <w:tcPr/>
          <w:p>
            <w:pPr>
              <w:pStyle w:val="Compact"/>
              <w:jc w:val="left"/>
            </w:pPr>
            <w:r>
              <w:t xml:space="preserve">Upstream (within Europe/China)</w:t>
            </w:r>
          </w:p>
        </w:tc>
        <w:tc>
          <w:tcPr/>
          <w:p>
            <w:pPr>
              <w:pStyle w:val="Compact"/>
              <w:jc w:val="left"/>
            </w:pPr>
            <w:r>
              <w:t xml:space="preserve">Road Freight (HGV)</w:t>
            </w:r>
          </w:p>
        </w:tc>
        <w:tc>
          <w:tcPr/>
          <w:p>
            <w:pPr>
              <w:pStyle w:val="Compact"/>
              <w:jc w:val="left"/>
            </w:pPr>
            <w:r>
              <w:t xml:space="preserve">500 km</w:t>
            </w:r>
          </w:p>
        </w:tc>
        <w:tc>
          <w:tcPr/>
          <w:p>
            <w:pPr>
              <w:pStyle w:val="Compact"/>
              <w:jc w:val="left"/>
            </w:pPr>
            <w:r>
              <w:t xml:space="preserve">0.5 kg (product)</w:t>
            </w:r>
          </w:p>
        </w:tc>
        <w:tc>
          <w:tcPr/>
          <w:p>
            <w:pPr>
              <w:pStyle w:val="Compact"/>
              <w:jc w:val="left"/>
            </w:pPr>
            <w:r>
              <w:t xml:space="preserve">0.243</w:t>
            </w:r>
          </w:p>
        </w:tc>
        <w:tc>
          <w:tcPr/>
          <w:p>
            <w:pPr>
              <w:pStyle w:val="Compact"/>
              <w:jc w:val="left"/>
            </w:pPr>
            <w:r>
              <w:t xml:space="preserve">0.06075</w:t>
            </w:r>
          </w:p>
        </w:tc>
        <w:tc>
          <w:tcPr/>
          <w:p>
            <w:pPr>
              <w:pStyle w:val="Compact"/>
              <w:jc w:val="left"/>
            </w:pPr>
            <w:r>
              <w:t xml:space="preserve">Scope 3</w:t>
            </w:r>
          </w:p>
        </w:tc>
      </w:tr>
      <w:tr>
        <w:tc>
          <w:tcPr/>
          <w:p>
            <w:pPr>
              <w:pStyle w:val="Compact"/>
              <w:jc w:val="left"/>
            </w:pPr>
            <w:r>
              <w:t xml:space="preserve">Last-Mile Delivery (Placeholder: Delivery Type)</w:t>
            </w:r>
          </w:p>
        </w:tc>
        <w:tc>
          <w:tcPr/>
          <w:p>
            <w:pPr>
              <w:pStyle w:val="Compact"/>
              <w:jc w:val="left"/>
            </w:pPr>
            <w:r>
              <w:t xml:space="preserve">Road (Light Commercial)</w:t>
            </w:r>
          </w:p>
        </w:tc>
        <w:tc>
          <w:tcPr/>
          <w:p>
            <w:pPr>
              <w:pStyle w:val="Compact"/>
              <w:jc w:val="left"/>
            </w:pPr>
            <w:r>
              <w:t xml:space="preserve">100 km</w:t>
            </w:r>
          </w:p>
        </w:tc>
        <w:tc>
          <w:tcPr/>
          <w:p>
            <w:pPr>
              <w:pStyle w:val="Compact"/>
              <w:jc w:val="left"/>
            </w:pPr>
            <w:r>
              <w:t xml:space="preserve">0.5 kg (product)</w:t>
            </w:r>
          </w:p>
        </w:tc>
        <w:tc>
          <w:tcPr/>
          <w:p>
            <w:pPr>
              <w:pStyle w:val="Compact"/>
              <w:jc w:val="left"/>
            </w:pPr>
            <w:r>
              <w:t xml:space="preserve">0.243 (proxy)</w:t>
            </w:r>
          </w:p>
        </w:tc>
        <w:tc>
          <w:tcPr/>
          <w:p>
            <w:pPr>
              <w:pStyle w:val="Compact"/>
              <w:jc w:val="left"/>
            </w:pPr>
            <w:r>
              <w:t xml:space="preserve">0.01215</w:t>
            </w:r>
          </w:p>
        </w:tc>
        <w:tc>
          <w:tcPr/>
          <w:p>
            <w:pPr>
              <w:pStyle w:val="Compact"/>
              <w:jc w:val="left"/>
            </w:pPr>
            <w:r>
              <w:t xml:space="preserve">Scope 3</w:t>
            </w:r>
          </w:p>
        </w:tc>
      </w:tr>
    </w:tbl>
    <w:p>
      <w:pPr>
        <w:pStyle w:val="BodyText"/>
      </w:pPr>
      <w:r>
        <w:rPr>
          <w:iCs/>
          <w:i/>
        </w:rPr>
        <w:t xml:space="preserve">Note: Calculations for transport are based on tonne-kilometre (tkm) and scaled to the product\'s weight. These fall under Scope 3, Category 4 (Transportation and Distribution).</w:t>
      </w:r>
    </w:p>
    <w:bookmarkEnd w:id="30"/>
    <w:bookmarkStart w:id="31" w:name="use-phase-data"/>
    <w:p>
      <w:pPr>
        <w:pStyle w:val="Heading3"/>
      </w:pPr>
      <w:r>
        <w:t xml:space="preserve">2.4. Use Phase Data</w:t>
      </w:r>
    </w:p>
    <w:p>
      <w:pPr>
        <w:pStyle w:val="FirstParagraph"/>
      </w:pPr>
      <w:r>
        <w:t xml:space="preserve">The energy consumed during the product\'s operational life is accounted for.</w:t>
      </w:r>
    </w:p>
    <w:p>
      <w:pPr>
        <w:numPr>
          <w:ilvl w:val="0"/>
          <w:numId w:val="1008"/>
        </w:numPr>
        <w:pStyle w:val="Compact"/>
      </w:pPr>
      <w:r>
        <w:rPr>
          <w:bCs/>
          <w:b/>
        </w:rPr>
        <w:t xml:space="preserve">Product Lifespan (Placeholder):</w:t>
      </w:r>
      <w:r>
        <w:t xml:space="preserve"> </w:t>
      </w:r>
      <w:r>
        <w:t xml:space="preserve">shdkryrumo</w:t>
      </w:r>
    </w:p>
    <w:p>
      <w:pPr>
        <w:numPr>
          <w:ilvl w:val="0"/>
          <w:numId w:val="1008"/>
        </w:numPr>
        <w:pStyle w:val="Compact"/>
      </w:pPr>
      <w:r>
        <w:rPr>
          <w:bCs/>
          <w:b/>
        </w:rPr>
        <w:t xml:space="preserve">Energy Consumption in Use (Placeholder):</w:t>
      </w:r>
      <w:r>
        <w:t xml:space="preserve"> </w:t>
      </w:r>
      <w:r>
        <w:t xml:space="preserve">wwxxysedmu</w:t>
      </w:r>
    </w:p>
    <w:p>
      <w:pPr>
        <w:pStyle w:val="FirstParagraph"/>
      </w:pPr>
      <w:r>
        <w:rPr>
          <w:iCs/>
          <w:i/>
        </w:rPr>
        <w:t xml:space="preserve">Assumption: For demonstration, we assume a product lifespan of 3 years (if \'shdkryrumo\' was 3 years) and an energy consumption of 0.1 kWh/day during use (if \'wwxxysedmu\' was 0.1 kWh/day). The global average electricity grid emission factor for 2022 is 0.436 kg CO2e/kWh.</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Parameter</w:t>
            </w:r>
          </w:p>
        </w:tc>
        <w:tc>
          <w:tcPr/>
          <w:p>
            <w:pPr>
              <w:pStyle w:val="Compact"/>
              <w:jc w:val="left"/>
            </w:pPr>
            <w:r>
              <w:t xml:space="preserve">Value (Assumed for Calculation)</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CO2e (kg)</w:t>
            </w:r>
          </w:p>
        </w:tc>
        <w:tc>
          <w:tcPr/>
          <w:p>
            <w:pPr>
              <w:pStyle w:val="Compact"/>
              <w:jc w:val="left"/>
            </w:pPr>
            <w:r>
              <w:t xml:space="preserve">Scope</w:t>
            </w:r>
          </w:p>
        </w:tc>
      </w:tr>
      <w:tr>
        <w:tc>
          <w:tcPr/>
          <w:p>
            <w:pPr>
              <w:pStyle w:val="Compact"/>
              <w:jc w:val="left"/>
            </w:pPr>
            <w:r>
              <w:t xml:space="preserve">Lifespan</w:t>
            </w:r>
          </w:p>
        </w:tc>
        <w:tc>
          <w:tcPr/>
          <w:p>
            <w:pPr>
              <w:pStyle w:val="Compact"/>
              <w:jc w:val="left"/>
            </w:pPr>
            <w:r>
              <w:t xml:space="preserve">3</w:t>
            </w:r>
          </w:p>
        </w:tc>
        <w:tc>
          <w:tcPr/>
          <w:p>
            <w:pPr>
              <w:pStyle w:val="Compact"/>
              <w:jc w:val="left"/>
            </w:pPr>
            <w:r>
              <w:t xml:space="preserve">years</w:t>
            </w:r>
          </w:p>
        </w:tc>
        <w:tc>
          <w:tcPr/>
          <w:p>
            <w:pPr>
              <w:pStyle w:val="Compact"/>
            </w:pPr>
          </w:p>
        </w:tc>
        <w:tc>
          <w:tcPr/>
          <w:p>
            <w:pPr>
              <w:pStyle w:val="Compact"/>
            </w:pPr>
          </w:p>
        </w:tc>
        <w:tc>
          <w:tcPr/>
          <w:p>
            <w:pPr>
              <w:pStyle w:val="Compact"/>
            </w:pPr>
          </w:p>
        </w:tc>
      </w:tr>
      <w:tr>
        <w:tc>
          <w:tcPr/>
          <w:p>
            <w:pPr>
              <w:pStyle w:val="Compact"/>
              <w:jc w:val="left"/>
            </w:pPr>
            <w:r>
              <w:t xml:space="preserve">Daily Energy Consumption</w:t>
            </w:r>
          </w:p>
        </w:tc>
        <w:tc>
          <w:tcPr/>
          <w:p>
            <w:pPr>
              <w:pStyle w:val="Compact"/>
              <w:jc w:val="left"/>
            </w:pPr>
            <w:r>
              <w:t xml:space="preserve">0.1</w:t>
            </w:r>
          </w:p>
        </w:tc>
        <w:tc>
          <w:tcPr/>
          <w:p>
            <w:pPr>
              <w:pStyle w:val="Compact"/>
              <w:jc w:val="left"/>
            </w:pPr>
            <w:r>
              <w:t xml:space="preserve">kWh/day</w:t>
            </w:r>
          </w:p>
        </w:tc>
        <w:tc>
          <w:tcPr/>
          <w:p>
            <w:pPr>
              <w:pStyle w:val="Compact"/>
            </w:pPr>
          </w:p>
        </w:tc>
        <w:tc>
          <w:tcPr/>
          <w:p>
            <w:pPr>
              <w:pStyle w:val="Compact"/>
            </w:pPr>
          </w:p>
        </w:tc>
        <w:tc>
          <w:tcPr/>
          <w:p>
            <w:pPr>
              <w:pStyle w:val="Compact"/>
            </w:pPr>
          </w:p>
        </w:tc>
      </w:tr>
      <w:tr>
        <w:tc>
          <w:tcPr/>
          <w:p>
            <w:pPr>
              <w:pStyle w:val="Compact"/>
              <w:jc w:val="left"/>
            </w:pPr>
            <w:r>
              <w:t xml:space="preserve">Total Energy in Use</w:t>
            </w:r>
          </w:p>
        </w:tc>
        <w:tc>
          <w:tcPr/>
          <w:p>
            <w:pPr>
              <w:pStyle w:val="Compact"/>
              <w:jc w:val="left"/>
            </w:pPr>
            <w:r>
              <w:t xml:space="preserve">0.1 kWh/day * 365 days/year * 3 years = 109.5 kWh</w:t>
            </w:r>
          </w:p>
        </w:tc>
        <w:tc>
          <w:tcPr/>
          <w:p>
            <w:pPr>
              <w:pStyle w:val="Compact"/>
              <w:jc w:val="left"/>
            </w:pPr>
            <w:r>
              <w:t xml:space="preserve">kWh</w:t>
            </w:r>
          </w:p>
        </w:tc>
        <w:tc>
          <w:tcPr/>
          <w:p>
            <w:pPr>
              <w:pStyle w:val="Compact"/>
              <w:jc w:val="left"/>
            </w:pPr>
            <w:r>
              <w:t xml:space="preserve">0.436 kg CO2e/kWh</w:t>
            </w:r>
          </w:p>
        </w:tc>
        <w:tc>
          <w:tcPr/>
          <w:p>
            <w:pPr>
              <w:pStyle w:val="Compact"/>
              <w:jc w:val="left"/>
            </w:pPr>
            <w:r>
              <w:t xml:space="preserve">47.79</w:t>
            </w:r>
          </w:p>
        </w:tc>
        <w:tc>
          <w:tcPr/>
          <w:p>
            <w:pPr>
              <w:pStyle w:val="Compact"/>
              <w:jc w:val="left"/>
            </w:pPr>
            <w:r>
              <w:t xml:space="preserve">Scope 3</w:t>
            </w:r>
          </w:p>
        </w:tc>
      </w:tr>
    </w:tbl>
    <w:p>
      <w:pPr>
        <w:pStyle w:val="BodyText"/>
      </w:pPr>
      <w:r>
        <w:rPr>
          <w:iCs/>
          <w:i/>
        </w:rPr>
        <w:t xml:space="preserve">Note: These emissions fall under Scope 3, Category 11 (Use of Sold Products).</w:t>
      </w:r>
    </w:p>
    <w:bookmarkEnd w:id="31"/>
    <w:bookmarkStart w:id="32" w:name="end-of-life-eol-scenarios"/>
    <w:p>
      <w:pPr>
        <w:pStyle w:val="Heading3"/>
      </w:pPr>
      <w:r>
        <w:t xml:space="preserve">2.5. End-of-Life (EoL) Scenarios</w:t>
      </w:r>
    </w:p>
    <w:p>
      <w:pPr>
        <w:pStyle w:val="FirstParagraph"/>
      </w:pPr>
      <w:r>
        <w:t xml:space="preserve">Circular economy impacts are incorporated through recyclability and circular programs.</w:t>
      </w:r>
    </w:p>
    <w:p>
      <w:pPr>
        <w:numPr>
          <w:ilvl w:val="0"/>
          <w:numId w:val="1009"/>
        </w:numPr>
        <w:pStyle w:val="Compact"/>
      </w:pPr>
      <w:r>
        <w:rPr>
          <w:bCs/>
          <w:b/>
        </w:rPr>
        <w:t xml:space="preserve">Recyclability Percentage (Placeholder):</w:t>
      </w:r>
      <w:r>
        <w:t xml:space="preserve"> </w:t>
      </w:r>
      <w:r>
        <w:t xml:space="preserve">pusvoyfnyk</w:t>
      </w:r>
    </w:p>
    <w:p>
      <w:pPr>
        <w:numPr>
          <w:ilvl w:val="0"/>
          <w:numId w:val="1009"/>
        </w:numPr>
        <w:pStyle w:val="Compact"/>
      </w:pPr>
      <w:r>
        <w:rPr>
          <w:bCs/>
          <w:b/>
        </w:rPr>
        <w:t xml:space="preserve">Circular/Take-back Programs (Placeholder):</w:t>
      </w:r>
      <w:r>
        <w:t xml:space="preserve"> </w:t>
      </w:r>
      <w:r>
        <w:t xml:space="preserve">jozpfxxjxx</w:t>
      </w:r>
    </w:p>
    <w:p>
      <w:pPr>
        <w:pStyle w:val="FirstParagraph"/>
      </w:pPr>
      <w:r>
        <w:rPr>
          <w:iCs/>
          <w:i/>
        </w:rPr>
        <w:t xml:space="preserve">Assumption: For demonstration, we assume a recyclability rate of 60% (if \'pusvoyfnyk\' was 60%) for the materials that are suitable for recycling, and the remaining 40% goes to landfill. We assume a credit for recycled materials (avoided production emissions from virgin plastic) and an emission for landfill. We also acknowledge the existence of "jozpfxxjxx" programs but do not quantify their impact without specific data.</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EoL Scenario</w:t>
            </w:r>
          </w:p>
        </w:tc>
        <w:tc>
          <w:tcPr/>
          <w:p>
            <w:pPr>
              <w:pStyle w:val="Compact"/>
              <w:jc w:val="left"/>
            </w:pPr>
            <w:r>
              <w:t xml:space="preserve">Assumption</w:t>
            </w:r>
          </w:p>
        </w:tc>
        <w:tc>
          <w:tcPr/>
          <w:p>
            <w:pPr>
              <w:pStyle w:val="Compact"/>
              <w:jc w:val="left"/>
            </w:pPr>
            <w:r>
              <w:t xml:space="preserve">Calculation (kg CO2e)</w:t>
            </w:r>
          </w:p>
        </w:tc>
        <w:tc>
          <w:tcPr/>
          <w:p>
            <w:pPr>
              <w:pStyle w:val="Compact"/>
              <w:jc w:val="left"/>
            </w:pPr>
            <w:r>
              <w:t xml:space="preserve">Total CO2e (kg)</w:t>
            </w:r>
          </w:p>
        </w:tc>
        <w:tc>
          <w:tcPr/>
          <w:p>
            <w:pPr>
              <w:pStyle w:val="Compact"/>
              <w:jc w:val="left"/>
            </w:pPr>
            <w:r>
              <w:t xml:space="preserve">Scope</w:t>
            </w:r>
          </w:p>
        </w:tc>
      </w:tr>
      <w:tr>
        <w:tc>
          <w:tcPr/>
          <w:p>
            <w:pPr>
              <w:pStyle w:val="Compact"/>
              <w:jc w:val="left"/>
            </w:pPr>
            <w:r>
              <w:t xml:space="preserve">Recycling (60% of product weight)</w:t>
            </w:r>
          </w:p>
        </w:tc>
        <w:tc>
          <w:tcPr/>
          <w:p>
            <w:pPr>
              <w:pStyle w:val="Compact"/>
              <w:jc w:val="left"/>
            </w:pPr>
            <w:r>
              <w:t xml:space="preserve">Avoided emissions from virgin plastic production. Product weight assumed 0.5kg. Avoided emissions credit ~ -1.0 kg CO2e/kg recycled plastic.</w:t>
            </w:r>
          </w:p>
        </w:tc>
        <w:tc>
          <w:tcPr/>
          <w:p>
            <w:pPr>
              <w:pStyle w:val="Compact"/>
              <w:jc w:val="left"/>
            </w:pPr>
            <w:r>
              <w:t xml:space="preserve">-0.5 kg * 0.6 * 1.0 kg CO2e/kg = -0.30</w:t>
            </w:r>
          </w:p>
        </w:tc>
        <w:tc>
          <w:tcPr/>
          <w:p>
            <w:pPr>
              <w:pStyle w:val="Compact"/>
              <w:jc w:val="left"/>
            </w:pPr>
            <w:r>
              <w:t xml:space="preserve">-0.30</w:t>
            </w:r>
          </w:p>
        </w:tc>
        <w:tc>
          <w:tcPr/>
          <w:p>
            <w:pPr>
              <w:pStyle w:val="Compact"/>
              <w:jc w:val="left"/>
            </w:pPr>
            <w:r>
              <w:t xml:space="preserve">Scope 3</w:t>
            </w:r>
          </w:p>
        </w:tc>
      </w:tr>
      <w:tr>
        <w:tc>
          <w:tcPr/>
          <w:p>
            <w:pPr>
              <w:pStyle w:val="Compact"/>
              <w:jc w:val="left"/>
            </w:pPr>
            <w:r>
              <w:t xml:space="preserve">Landfill (40% of product weight)</w:t>
            </w:r>
          </w:p>
        </w:tc>
        <w:tc>
          <w:tcPr/>
          <w:p>
            <w:pPr>
              <w:pStyle w:val="Compact"/>
              <w:jc w:val="left"/>
            </w:pPr>
            <w:r>
              <w:t xml:space="preserve">Emissions from decomposition/energy recovery from waste. ~0.2 kg CO2e/kg for typical mixed waste landfill.</w:t>
            </w:r>
          </w:p>
        </w:tc>
        <w:tc>
          <w:tcPr/>
          <w:p>
            <w:pPr>
              <w:pStyle w:val="Compact"/>
              <w:jc w:val="left"/>
            </w:pPr>
            <w:r>
              <w:t xml:space="preserve">0.5 kg * 0.4 * 0.2 kg CO2e/kg = 0.04</w:t>
            </w:r>
          </w:p>
        </w:tc>
        <w:tc>
          <w:tcPr/>
          <w:p>
            <w:pPr>
              <w:pStyle w:val="Compact"/>
              <w:jc w:val="left"/>
            </w:pPr>
            <w:r>
              <w:t xml:space="preserve">0.04</w:t>
            </w:r>
          </w:p>
        </w:tc>
        <w:tc>
          <w:tcPr/>
          <w:p>
            <w:pPr>
              <w:pStyle w:val="Compact"/>
              <w:jc w:val="left"/>
            </w:pPr>
            <w:r>
              <w:t xml:space="preserve">Scope 3</w:t>
            </w:r>
          </w:p>
        </w:tc>
      </w:tr>
    </w:tbl>
    <w:p>
      <w:pPr>
        <w:pStyle w:val="BodyText"/>
      </w:pPr>
      <w:r>
        <w:rPr>
          <w:iCs/>
          <w:i/>
        </w:rPr>
        <w:t xml:space="preserve">Note: EoL calculations are highly dependent on specific material types and regional waste management infrastructure. These are illustrative. These emissions and credits fall under Scope 3, Category 12 (End-of-Life Treatment of Sold Products).</w:t>
      </w:r>
    </w:p>
    <w:p>
      <w:r>
        <w:pict>
          <v:rect style="width:0;height:1.5pt" o:hralign="center" o:hrstd="t" o:hr="t"/>
        </w:pict>
      </w:r>
    </w:p>
    <w:bookmarkEnd w:id="32"/>
    <w:bookmarkEnd w:id="33"/>
    <w:bookmarkStart w:id="36" w:name="calculation-of-emissions-co2e"/>
    <w:p>
      <w:pPr>
        <w:pStyle w:val="Heading2"/>
      </w:pPr>
      <w:r>
        <w:t xml:space="preserve">3. Calculation of Emissions (CO2e)</w:t>
      </w:r>
    </w:p>
    <w:p>
      <w:pPr>
        <w:pStyle w:val="FirstParagraph"/>
      </w:pPr>
      <w:r>
        <w:t xml:space="preserve">This section aggregates the emissions calculated from each lifecycle stage, categorizing them according to the GHG Protocol Scopes. The total Product Carbon Footprint for \'pkmnsmnlom\' is presented.</w:t>
      </w:r>
    </w:p>
    <w:bookmarkStart w:id="34" w:name="total-emissions-by-lifecycle-stage"/>
    <w:p>
      <w:pPr>
        <w:pStyle w:val="Heading3"/>
      </w:pPr>
      <w:r>
        <w:t xml:space="preserve">3.1. Total Emissions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Total CO2e (kg)</w:t>
            </w:r>
          </w:p>
        </w:tc>
        <w:tc>
          <w:tcPr/>
          <w:p>
            <w:pPr>
              <w:pStyle w:val="Compact"/>
              <w:jc w:val="left"/>
            </w:pPr>
            <w:r>
              <w:t xml:space="preserve">Scope</w:t>
            </w:r>
          </w:p>
        </w:tc>
      </w:tr>
      <w:tr>
        <w:tc>
          <w:tcPr/>
          <w:p>
            <w:pPr>
              <w:pStyle w:val="Compact"/>
              <w:jc w:val="left"/>
            </w:pPr>
            <w:r>
              <w:t xml:space="preserve">Materials (BOM)</w:t>
            </w:r>
          </w:p>
        </w:tc>
        <w:tc>
          <w:tcPr/>
          <w:p>
            <w:pPr>
              <w:pStyle w:val="Compact"/>
              <w:jc w:val="left"/>
            </w:pPr>
            <w:r>
              <w:t xml:space="preserve">3.59</w:t>
            </w:r>
          </w:p>
        </w:tc>
        <w:tc>
          <w:tcPr/>
          <w:p>
            <w:pPr>
              <w:pStyle w:val="Compact"/>
              <w:jc w:val="left"/>
            </w:pPr>
            <w:r>
              <w:t xml:space="preserve">Scope 3</w:t>
            </w:r>
          </w:p>
        </w:tc>
      </w:tr>
      <w:tr>
        <w:tc>
          <w:tcPr/>
          <w:p>
            <w:pPr>
              <w:pStyle w:val="Compact"/>
              <w:jc w:val="left"/>
            </w:pPr>
            <w:r>
              <w:t xml:space="preserve">Production Energy (Electricity)</w:t>
            </w:r>
          </w:p>
        </w:tc>
        <w:tc>
          <w:tcPr/>
          <w:p>
            <w:pPr>
              <w:pStyle w:val="Compact"/>
              <w:jc w:val="left"/>
            </w:pPr>
            <w:r>
              <w:t xml:space="preserve">2.48</w:t>
            </w:r>
          </w:p>
        </w:tc>
        <w:tc>
          <w:tcPr/>
          <w:p>
            <w:pPr>
              <w:pStyle w:val="Compact"/>
              <w:jc w:val="left"/>
            </w:pPr>
            <w:r>
              <w:t xml:space="preserve">Scope 2</w:t>
            </w:r>
          </w:p>
        </w:tc>
      </w:tr>
      <w:tr>
        <w:tc>
          <w:tcPr/>
          <w:p>
            <w:pPr>
              <w:pStyle w:val="Compact"/>
              <w:jc w:val="left"/>
            </w:pPr>
            <w:r>
              <w:t xml:space="preserve">Transport (Upstream &amp; Last-Mile)</w:t>
            </w:r>
          </w:p>
        </w:tc>
        <w:tc>
          <w:tcPr/>
          <w:p>
            <w:pPr>
              <w:pStyle w:val="Compact"/>
              <w:jc w:val="left"/>
            </w:pPr>
            <w:r>
              <w:t xml:space="preserve">0.089</w:t>
            </w:r>
          </w:p>
        </w:tc>
        <w:tc>
          <w:tcPr/>
          <w:p>
            <w:pPr>
              <w:pStyle w:val="Compact"/>
              <w:jc w:val="left"/>
            </w:pPr>
            <w:r>
              <w:t xml:space="preserve">Scope 3</w:t>
            </w:r>
          </w:p>
        </w:tc>
      </w:tr>
      <w:tr>
        <w:tc>
          <w:tcPr/>
          <w:p>
            <w:pPr>
              <w:pStyle w:val="Compact"/>
              <w:jc w:val="left"/>
            </w:pPr>
            <w:r>
              <w:t xml:space="preserve">Use Phase</w:t>
            </w:r>
          </w:p>
        </w:tc>
        <w:tc>
          <w:tcPr/>
          <w:p>
            <w:pPr>
              <w:pStyle w:val="Compact"/>
              <w:jc w:val="left"/>
            </w:pPr>
            <w:r>
              <w:t xml:space="preserve">47.79</w:t>
            </w:r>
          </w:p>
        </w:tc>
        <w:tc>
          <w:tcPr/>
          <w:p>
            <w:pPr>
              <w:pStyle w:val="Compact"/>
              <w:jc w:val="left"/>
            </w:pPr>
            <w:r>
              <w:t xml:space="preserve">Scope 3</w:t>
            </w:r>
          </w:p>
        </w:tc>
      </w:tr>
      <w:tr>
        <w:tc>
          <w:tcPr/>
          <w:p>
            <w:pPr>
              <w:pStyle w:val="Compact"/>
              <w:jc w:val="left"/>
            </w:pPr>
            <w:r>
              <w:t xml:space="preserve">End-of-Life (Net)</w:t>
            </w:r>
          </w:p>
        </w:tc>
        <w:tc>
          <w:tcPr/>
          <w:p>
            <w:pPr>
              <w:pStyle w:val="Compact"/>
              <w:jc w:val="left"/>
            </w:pPr>
            <w:r>
              <w:t xml:space="preserve">-0.26</w:t>
            </w:r>
          </w:p>
        </w:tc>
        <w:tc>
          <w:tcPr/>
          <w:p>
            <w:pPr>
              <w:pStyle w:val="Compact"/>
              <w:jc w:val="left"/>
            </w:pPr>
            <w:r>
              <w:t xml:space="preserve">Scope 3</w:t>
            </w:r>
          </w:p>
        </w:tc>
      </w:tr>
      <w:tr>
        <w:tc>
          <w:tcPr/>
          <w:p>
            <w:pPr>
              <w:pStyle w:val="Compact"/>
              <w:jc w:val="left"/>
            </w:pPr>
            <w:r>
              <w:rPr>
                <w:bCs/>
                <w:b/>
              </w:rPr>
              <w:t xml:space="preserve">TOTAL PRODUCT CARBON FOOTPRINT</w:t>
            </w:r>
          </w:p>
        </w:tc>
        <w:tc>
          <w:tcPr/>
          <w:p>
            <w:pPr>
              <w:pStyle w:val="Compact"/>
              <w:jc w:val="left"/>
            </w:pPr>
            <w:r>
              <w:rPr>
                <w:bCs/>
                <w:b/>
              </w:rPr>
              <w:t xml:space="preserve">53.69</w:t>
            </w:r>
          </w:p>
        </w:tc>
        <w:tc>
          <w:tcPr/>
          <w:p>
            <w:pPr>
              <w:pStyle w:val="Compact"/>
            </w:pPr>
          </w:p>
        </w:tc>
      </w:tr>
    </w:tbl>
    <w:bookmarkEnd w:id="34"/>
    <w:bookmarkStart w:id="35" w:name="emissions-by-ghg-protocol-scope"/>
    <w:p>
      <w:pPr>
        <w:pStyle w:val="Heading3"/>
      </w:pPr>
      <w:r>
        <w:t xml:space="preserve">3.2. Emissions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Total CO2e (kg)</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2.48</w:t>
            </w:r>
          </w:p>
        </w:tc>
        <w:tc>
          <w:tcPr/>
          <w:p>
            <w:pPr>
              <w:pStyle w:val="Compact"/>
              <w:jc w:val="left"/>
            </w:pPr>
            <w:r>
              <w:t xml:space="preserve">4.62%</w:t>
            </w:r>
          </w:p>
        </w:tc>
      </w:tr>
      <w:tr>
        <w:tc>
          <w:tcPr/>
          <w:p>
            <w:pPr>
              <w:pStyle w:val="Compact"/>
              <w:jc w:val="left"/>
            </w:pPr>
            <w:r>
              <w:t xml:space="preserve">Scope 3 (Value Chain Emissions)</w:t>
            </w:r>
          </w:p>
        </w:tc>
        <w:tc>
          <w:tcPr/>
          <w:p>
            <w:pPr>
              <w:pStyle w:val="Compact"/>
              <w:jc w:val="left"/>
            </w:pPr>
            <w:r>
              <w:t xml:space="preserve">51.21</w:t>
            </w:r>
          </w:p>
        </w:tc>
        <w:tc>
          <w:tcPr/>
          <w:p>
            <w:pPr>
              <w:pStyle w:val="Compact"/>
              <w:jc w:val="left"/>
            </w:pPr>
            <w:r>
              <w:t xml:space="preserve">95.38%</w:t>
            </w:r>
          </w:p>
        </w:tc>
      </w:tr>
      <w:tr>
        <w:tc>
          <w:tcPr/>
          <w:p>
            <w:pPr>
              <w:pStyle w:val="Compact"/>
              <w:jc w:val="left"/>
            </w:pPr>
            <w:r>
              <w:rPr>
                <w:bCs/>
                <w:b/>
              </w:rPr>
              <w:t xml:space="preserve">TOTAL PRODUCT CARBON FOOTPRINT</w:t>
            </w:r>
          </w:p>
        </w:tc>
        <w:tc>
          <w:tcPr/>
          <w:p>
            <w:pPr>
              <w:pStyle w:val="Compact"/>
              <w:jc w:val="left"/>
            </w:pPr>
            <w:r>
              <w:rPr>
                <w:bCs/>
                <w:b/>
              </w:rPr>
              <w:t xml:space="preserve">53.69</w:t>
            </w:r>
          </w:p>
        </w:tc>
        <w:tc>
          <w:tcPr/>
          <w:p>
            <w:pPr>
              <w:pStyle w:val="Compact"/>
              <w:jc w:val="left"/>
            </w:pPr>
            <w:r>
              <w:rPr>
                <w:bCs/>
                <w:b/>
              </w:rPr>
              <w:t xml:space="preserve">100.0%</w:t>
            </w:r>
          </w:p>
        </w:tc>
      </w:tr>
    </w:tbl>
    <w:p>
      <w:pPr>
        <w:pStyle w:val="BodyText"/>
      </w:pPr>
      <w:r>
        <w:rPr>
          <w:iCs/>
          <w:i/>
        </w:rPr>
        <w:t xml:space="preserve">Note: Scope 1 emissions are considered negligible for this product\'s factory_gate boundary, implying no direct emissions from owned/controlled processes like fuel combustion. The high percentage of Scope 3 emissions highlights the importance of value chain engagement.</w:t>
      </w:r>
    </w:p>
    <w:p>
      <w:r>
        <w:pict>
          <v:rect style="width:0;height:1.5pt" o:hralign="center" o:hrstd="t" o:hr="t"/>
        </w:pict>
      </w:r>
    </w:p>
    <w:bookmarkEnd w:id="35"/>
    <w:bookmarkEnd w:id="36"/>
    <w:bookmarkStart w:id="40" w:name="review-and-reporting"/>
    <w:p>
      <w:pPr>
        <w:pStyle w:val="Heading2"/>
      </w:pPr>
      <w:r>
        <w:t xml:space="preserve">4. Review and Reporting</w:t>
      </w:r>
    </w:p>
    <w:bookmarkStart w:id="37" w:name="emission-hotspots"/>
    <w:p>
      <w:pPr>
        <w:pStyle w:val="Heading3"/>
      </w:pPr>
      <w:r>
        <w:t xml:space="preserve">4.1. Emission Hotspots</w:t>
      </w:r>
    </w:p>
    <w:p>
      <w:pPr>
        <w:pStyle w:val="FirstParagraph"/>
      </w:pPr>
      <w:r>
        <w:t xml:space="preserve">The analysis identifies the following key emission hotspots for \'pkmnsmnlom\':</w:t>
      </w:r>
    </w:p>
    <w:p>
      <w:pPr>
        <w:numPr>
          <w:ilvl w:val="0"/>
          <w:numId w:val="1010"/>
        </w:numPr>
        <w:pStyle w:val="Compact"/>
      </w:pPr>
      <w:r>
        <w:rPr>
          <w:bCs/>
          <w:b/>
        </w:rPr>
        <w:t xml:space="preserve">Use Phase (47.79 kg CO2e, 89.0% of total):</w:t>
      </w:r>
      <w:r>
        <w:t xml:space="preserve"> </w:t>
      </w:r>
      <w:r>
        <w:t xml:space="preserve">This is overwhelmingly the largest contributor to the product\'s carbon footprint, primarily due to the energy consumption during its assumed 3-year lifespan. This highlights the critical importance of energy efficiency in product design and user behavior.</w:t>
      </w:r>
    </w:p>
    <w:p>
      <w:pPr>
        <w:numPr>
          <w:ilvl w:val="0"/>
          <w:numId w:val="1010"/>
        </w:numPr>
        <w:pStyle w:val="Compact"/>
      </w:pPr>
      <w:r>
        <w:rPr>
          <w:bCs/>
          <w:b/>
        </w:rPr>
        <w:t xml:space="preserve">Materials (3.59 kg CO2e, 6.7% of total):</w:t>
      </w:r>
      <w:r>
        <w:t xml:space="preserve"> </w:t>
      </w:r>
      <w:r>
        <w:t xml:space="preserve">The production of raw materials and components, particularly plastics and electronics, represents the second-largest hotspot.</w:t>
      </w:r>
    </w:p>
    <w:p>
      <w:pPr>
        <w:numPr>
          <w:ilvl w:val="0"/>
          <w:numId w:val="1010"/>
        </w:numPr>
        <w:pStyle w:val="Compact"/>
      </w:pPr>
      <w:r>
        <w:rPr>
          <w:bCs/>
          <w:b/>
        </w:rPr>
        <w:t xml:space="preserve">Production Energy (2.48 kg CO2e, 4.6% of total):</w:t>
      </w:r>
      <w:r>
        <w:t xml:space="preserve"> </w:t>
      </w:r>
      <w:r>
        <w:t xml:space="preserve">Energy used in the manufacturing facility, predominantly from the non-renewable grid mix in China, contributes significantly.</w:t>
      </w:r>
    </w:p>
    <w:bookmarkEnd w:id="37"/>
    <w:bookmarkStart w:id="38" w:name="reliability-and-limitations"/>
    <w:p>
      <w:pPr>
        <w:pStyle w:val="Heading3"/>
      </w:pPr>
      <w:r>
        <w:t xml:space="preserve">4.2. Reliability and Limitations</w:t>
      </w:r>
    </w:p>
    <w:p>
      <w:pPr>
        <w:pStyle w:val="FirstParagraph"/>
      </w:pPr>
      <w:r>
        <w:t xml:space="preserve">The reliability of this PCF analysis is contingent upon the accuracy of the input data.</w:t>
      </w:r>
    </w:p>
    <w:p>
      <w:pPr>
        <w:numPr>
          <w:ilvl w:val="0"/>
          <w:numId w:val="1011"/>
        </w:numPr>
        <w:pStyle w:val="Compact"/>
      </w:pPr>
      <w:r>
        <w:rPr>
          <w:bCs/>
          <w:b/>
        </w:rPr>
        <w:t xml:space="preserve">Data Assumptions:</w:t>
      </w:r>
      <w:r>
        <w:t xml:space="preserve"> </w:t>
      </w:r>
      <w:r>
        <w:t xml:space="preserve">Several parameters (Transport Mode, Distance, Delivery Type, Renewable Energy Usage, Energy Intensity, Product Lifespan, Energy Consumption in Use, Recyclability Percentage, Circular Programs) were provided as illustrative placeholders. Generic industry averages and assumptions were used for calculation, which may introduce uncertainty.</w:t>
      </w:r>
    </w:p>
    <w:p>
      <w:pPr>
        <w:numPr>
          <w:ilvl w:val="0"/>
          <w:numId w:val="1011"/>
        </w:numPr>
        <w:pStyle w:val="Compact"/>
      </w:pPr>
      <w:r>
        <w:rPr>
          <w:bCs/>
          <w:b/>
        </w:rPr>
        <w:t xml:space="preserve">Emission Factors:</w:t>
      </w:r>
      <w:r>
        <w:t xml:space="preserve"> </w:t>
      </w:r>
      <w:r>
        <w:t xml:space="preserve">While industry-standard emission factors were used (e.g., Ecoinvent, DEFRA, IEA), actual supplier-specific or region-specific data would enhance accuracy.</w:t>
      </w:r>
    </w:p>
    <w:p>
      <w:pPr>
        <w:numPr>
          <w:ilvl w:val="0"/>
          <w:numId w:val="1011"/>
        </w:numPr>
        <w:pStyle w:val="Compact"/>
      </w:pPr>
      <w:r>
        <w:rPr>
          <w:bCs/>
          <w:b/>
        </w:rPr>
        <w:t xml:space="preserve">System Boundary:</w:t>
      </w:r>
      <w:r>
        <w:t xml:space="preserve"> </w:t>
      </w:r>
      <w:r>
        <w:t xml:space="preserve">The \'factory_gate\' boundary for Scope 1/2 definition means certain upstream processes are captured in Scope 3. The full lifecycle approach provides a holistic view.</w:t>
      </w:r>
    </w:p>
    <w:bookmarkEnd w:id="38"/>
    <w:bookmarkStart w:id="39" w:name="recommendations-for-emission-reduction"/>
    <w:p>
      <w:pPr>
        <w:pStyle w:val="Heading3"/>
      </w:pPr>
      <w:r>
        <w:t xml:space="preserve">4.3. Recommendations for Emission Reduction</w:t>
      </w:r>
    </w:p>
    <w:p>
      <w:pPr>
        <w:pStyle w:val="FirstParagraph"/>
      </w:pPr>
      <w:r>
        <w:t xml:space="preserve">Based on the identified hotspots, \'ftprqtftsm\' should consider the following strategies to reduce the carbon footprint of \'pkmnsmnlom\':</w:t>
      </w:r>
    </w:p>
    <w:p>
      <w:pPr>
        <w:numPr>
          <w:ilvl w:val="0"/>
          <w:numId w:val="1012"/>
        </w:numPr>
        <w:pStyle w:val="Compact"/>
      </w:pPr>
      <w:r>
        <w:rPr>
          <w:bCs/>
          <w:b/>
        </w:rPr>
        <w:t xml:space="preserve">Optimize Use Phase Energy Efficiency:</w:t>
      </w:r>
      <w:r>
        <w:t xml:space="preserve"> </w:t>
      </w:r>
      <w:r>
        <w:t xml:space="preserve">Redesign \'pkmnsmnlom\' to significantly reduce its operational energy consumption. This could involve using more efficient components, integrating smart energy-saving features, or providing guidance to users on energy-efficient usage.</w:t>
      </w:r>
    </w:p>
    <w:p>
      <w:pPr>
        <w:numPr>
          <w:ilvl w:val="0"/>
          <w:numId w:val="1012"/>
        </w:numPr>
        <w:pStyle w:val="Compact"/>
      </w:pPr>
      <w:r>
        <w:rPr>
          <w:bCs/>
          <w:b/>
        </w:rPr>
        <w:t xml:space="preserve">Material Optimization:</w:t>
      </w:r>
    </w:p>
    <w:p>
      <w:pPr>
        <w:numPr>
          <w:ilvl w:val="1"/>
          <w:numId w:val="1013"/>
        </w:numPr>
        <w:pStyle w:val="Compact"/>
      </w:pPr>
      <w:r>
        <w:t xml:space="preserve">Explore lighter materials or materials with lower embodied carbon for components like the housing and packaging.</w:t>
      </w:r>
    </w:p>
    <w:p>
      <w:pPr>
        <w:numPr>
          <w:ilvl w:val="1"/>
          <w:numId w:val="1013"/>
        </w:numPr>
        <w:pStyle w:val="Compact"/>
      </w:pPr>
      <w:r>
        <w:t xml:space="preserve">Increase the use of recycled content in materials, especially for plastics.</w:t>
      </w:r>
    </w:p>
    <w:p>
      <w:pPr>
        <w:numPr>
          <w:ilvl w:val="1"/>
          <w:numId w:val="1013"/>
        </w:numPr>
        <w:pStyle w:val="Compact"/>
      </w:pPr>
      <w:r>
        <w:t xml:space="preserve">Engage with suppliers to obtain primary emission data and encourage them to adopt lower-carbon production processes.</w:t>
      </w:r>
    </w:p>
    <w:p>
      <w:pPr>
        <w:numPr>
          <w:ilvl w:val="0"/>
          <w:numId w:val="1012"/>
        </w:numPr>
        <w:pStyle w:val="Compact"/>
      </w:pPr>
      <w:r>
        <w:rPr>
          <w:bCs/>
          <w:b/>
        </w:rPr>
        <w:t xml:space="preserve">Renewable Energy Procurement:</w:t>
      </w:r>
      <w:r>
        <w:t xml:space="preserve"> </w:t>
      </w:r>
      <w:r>
        <w:t xml:space="preserve">Increase the use of renewable energy at manufacturing facilities in China. This can be achieved through on-site generation, power purchase agreements (PPAs), or purchasing high-quality energy attribute certificates.</w:t>
      </w:r>
    </w:p>
    <w:p>
      <w:pPr>
        <w:numPr>
          <w:ilvl w:val="0"/>
          <w:numId w:val="1012"/>
        </w:numPr>
        <w:pStyle w:val="Compact"/>
      </w:pPr>
      <w:r>
        <w:rPr>
          <w:bCs/>
          <w:b/>
        </w:rPr>
        <w:t xml:space="preserve">Enhance Circularity:</w:t>
      </w:r>
    </w:p>
    <w:p>
      <w:pPr>
        <w:numPr>
          <w:ilvl w:val="1"/>
          <w:numId w:val="1014"/>
        </w:numPr>
        <w:pStyle w:val="Compact"/>
      </w:pPr>
      <w:r>
        <w:t xml:space="preserve">Strengthen existing \'jozpfxxjxx\' circular/take-back programs to maximize product recovery and material recycling.</w:t>
      </w:r>
    </w:p>
    <w:p>
      <w:pPr>
        <w:numPr>
          <w:ilvl w:val="1"/>
          <w:numId w:val="1014"/>
        </w:numPr>
        <w:pStyle w:val="Compact"/>
      </w:pPr>
      <w:r>
        <w:t xml:space="preserve">Design for disassembly and repair to extend product lifespan and facilitate material recovery.</w:t>
      </w:r>
    </w:p>
    <w:p>
      <w:pPr>
        <w:numPr>
          <w:ilvl w:val="1"/>
          <w:numId w:val="1014"/>
        </w:numPr>
        <w:pStyle w:val="Compact"/>
      </w:pPr>
      <w:r>
        <w:t xml:space="preserve">Improve recyclability beyond the assumed \'pusvoyfnyk\' percentage by selecting materials and designs that are easily separable and compatible with recycling streams.</w:t>
      </w:r>
    </w:p>
    <w:p>
      <w:pPr>
        <w:numPr>
          <w:ilvl w:val="0"/>
          <w:numId w:val="1012"/>
        </w:numPr>
        <w:pStyle w:val="Compact"/>
      </w:pPr>
      <w:r>
        <w:rPr>
          <w:bCs/>
          <w:b/>
        </w:rPr>
        <w:t xml:space="preserve">Logistics Optimization:</w:t>
      </w:r>
      <w:r>
        <w:t xml:space="preserve"> </w:t>
      </w:r>
      <w:r>
        <w:t xml:space="preserve">While transport is a smaller hotspot, optimizing freight (e.g., shifting to lower-emission modes where feasible, consolidating shipments, optimizing routes) can still contribute to overall reductions.</w:t>
      </w:r>
    </w:p>
    <w:p>
      <w:r>
        <w:pict>
          <v:rect style="width:0;height:1.5pt" o:hralign="center" o:hrstd="t" o:hr="t"/>
        </w:pict>
      </w:r>
    </w:p>
    <w:p>
      <w:pPr>
        <w:pStyle w:val="FirstParagraph"/>
      </w:pPr>
      <w:r>
        <w:t xml:space="preserve">Confidential - Internal Use Only | Page</w:t>
      </w:r>
      <w:r>
        <w:t xml:space="preserve"> </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pkmnsmnlom</dc:title>
  <dc:creator/>
  <dc:description>Detailed Product Carbon Footprint (PCF) analysis report for pkmnsmnlom, conducted by Senior Sustainability Consultant efmoegkevu, adhering to GHG Protocol standards and 2026 LSR updates.</dc:description>
  <cp:keywords/>
  <dcterms:created xsi:type="dcterms:W3CDTF">2026-07-14T23:44:47Z</dcterms:created>
  <dcterms:modified xsi:type="dcterms:W3CDTF">2026-07-14T23:44:47Z</dcterms:modified>
</cp:coreProperties>
</file>

<file path=docProps/custom.xml><?xml version="1.0" encoding="utf-8"?>
<Properties xmlns="http://schemas.openxmlformats.org/officeDocument/2006/custom-properties" xmlns:vt="http://schemas.openxmlformats.org/officeDocument/2006/docPropsVTypes"/>
</file>