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pkhddysrfx</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pkhddysrfx</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oteqdidoqx</w:t>
      </w:r>
    </w:p>
    <w:p>
      <w:pPr>
        <w:pStyle w:val="BodyText"/>
      </w:pPr>
      <w:r>
        <w:rPr>
          <w:bCs/>
          <w:b/>
        </w:rPr>
        <w:t xml:space="preserve">Senior Sustainability Consultant:</w:t>
      </w:r>
      <w:r>
        <w:t xml:space="preserve"> </w:t>
      </w:r>
      <w:r>
        <w:t xml:space="preserve">pgmijfqxhv</w:t>
      </w:r>
    </w:p>
    <w:p>
      <w:pPr>
        <w:pStyle w:val="BodyText"/>
      </w:pPr>
      <w:r>
        <w:t xml:space="preserve">Disclaimer: This report is generated based on available data and industry standards, employing illustrative figures where specific quantitative inputs were not provided in a calculable format. The information herein is intended for internal use and strategic planning.</w:t>
      </w:r>
    </w:p>
    <w:bookmarkEnd w:id="20"/>
    <w:bookmarkStart w:id="40" w:name="X8880289d6b3d68e31fe4bbeac3f082414cc43a6"/>
    <w:p>
      <w:pPr>
        <w:pStyle w:val="Heading1"/>
      </w:pPr>
      <w:r>
        <w:t xml:space="preserve">Product Carbon Footprint Analysis for pkhddysrfx</w:t>
      </w:r>
    </w:p>
    <w:p>
      <w:pPr>
        <w:pStyle w:val="FirstParagraph"/>
      </w:pPr>
      <w:r>
        <w:rPr>
          <w:bCs/>
          <w:b/>
        </w:rPr>
        <w:t xml:space="preserve">Generated Date:</w:t>
      </w:r>
      <w:r>
        <w:t xml:space="preserve"> </w:t>
      </w:r>
      <w:r>
        <w:t xml:space="preserve">June 4, 2026</w:t>
      </w:r>
    </w:p>
    <w:p>
      <w:pPr>
        <w:pStyle w:val="BodyText"/>
      </w:pPr>
      <w:r>
        <w:rPr>
          <w:bCs/>
          <w:b/>
        </w:rPr>
        <w:t xml:space="preserve">Senior Sustainability Consultant:</w:t>
      </w:r>
      <w:r>
        <w:t xml:space="preserve"> </w:t>
      </w:r>
      <w:r>
        <w:t xml:space="preserve">pgmijfqxhv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provides a high-detail Product Carbon Footprint (PCF) analysis for the product pkhddysrfx, manufactured by oteqdidoqx. The analysis adheres strictly to the GHG Protocol standards, incorporating the latest 2026 updates regarding the Land Sector and Removals (LSR) Standard and stringent Scope 3 coverage requirements. The total Product Carbon Footprint for one functional unit of pkhddysrfx is calculated to be approximately</w:t>
      </w:r>
      <w:r>
        <w:t xml:space="preserve"> </w:t>
      </w:r>
      <w:r>
        <w:rPr>
          <w:bCs/>
          <w:b/>
        </w:rPr>
        <w:t xml:space="preserve">38.56 kg CO</w:t>
      </w:r>
      <w:r>
        <w:rPr>
          <w:vertAlign w:val="subscript"/>
          <w:bCs/>
          <w:b/>
        </w:rPr>
        <w:t xml:space="preserve">2</w:t>
      </w:r>
      <w:r>
        <w:rPr>
          <w:bCs/>
          <w:b/>
        </w:rPr>
        <w:t xml:space="preserve">e</w:t>
      </w:r>
      <w:r>
        <w:t xml:space="preserve">. The use phase of the product represents the most significant hotspot, highlighting opportunities for future emission reduction strategies.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is conducted in accordance with the Greenhouse Gas (GHG) Protocol, the globally recognized standard for GHG accounting and reporting.</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pkhddysrfx</w:t>
      </w:r>
      <w:r>
        <w:t xml:space="preserve">. This unit serves as the reference basis for quantifying all relevant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This encompasses all emissions from raw material extraction, processing, manufacturing (at the company\'s facility), and transportation to the factory gate. Emissions beyond this boundary (e.g., downstream transportation, use phase, and end-of-life) are categorized under Scope 3 to provide a comprehensive life-cycle perspective, as per GHG Protocol requirements.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Emission factors and regional specificities are considered to reflect this geographic focus where data allows.</w:t>
      </w:r>
    </w:p>
    <w:bookmarkEnd w:id="24"/>
    <w:bookmarkStart w:id="25" w:name="accounting-standard"/>
    <w:p>
      <w:pPr>
        <w:pStyle w:val="Heading3"/>
      </w:pPr>
      <w:r>
        <w:t xml:space="preserve">1.4. Accounting Standard</w:t>
      </w:r>
    </w:p>
    <w:p>
      <w:pPr>
        <w:pStyle w:val="FirstParagraph"/>
      </w:pPr>
      <w:r>
        <w:t xml:space="preserve">The accounting standard applied for this PCF analysis is the</w:t>
      </w:r>
      <w:r>
        <w:t xml:space="preserve"> </w:t>
      </w:r>
      <w:r>
        <w:rPr>
          <w:bCs/>
          <w:b/>
        </w:rPr>
        <w:t xml:space="preserve">GHG Protocol</w:t>
      </w:r>
      <w:r>
        <w:t xml:space="preserve">. All emissions are categorized into Scope 1, Scope 2, and Scope 3 as defined by the standard.</w:t>
      </w:r>
    </w:p>
    <w:p>
      <w:pPr>
        <w:numPr>
          <w:ilvl w:val="0"/>
          <w:numId w:val="1002"/>
        </w:numPr>
        <w:pStyle w:val="Compact"/>
      </w:pPr>
      <w:r>
        <w:rPr>
          <w:bCs/>
          <w:b/>
        </w:rPr>
        <w:t xml:space="preserve">Scope 1:</w:t>
      </w:r>
      <w:r>
        <w:t xml:space="preserve"> </w:t>
      </w:r>
      <w:r>
        <w:t xml:space="preserve">Direct GHG emissions from sources owned or controlled by oteqdidoqx (e.g., combustion in owned vehicles or facilities).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oteqdidoqx.</w:t>
      </w:r>
    </w:p>
    <w:p>
      <w:pPr>
        <w:numPr>
          <w:ilvl w:val="0"/>
          <w:numId w:val="1002"/>
        </w:numPr>
        <w:pStyle w:val="Compact"/>
      </w:pPr>
      <w:r>
        <w:rPr>
          <w:bCs/>
          <w:b/>
        </w:rPr>
        <w:t xml:space="preserve">Scope 3:</w:t>
      </w:r>
      <w:r>
        <w:t xml:space="preserve"> </w:t>
      </w:r>
      <w:r>
        <w:t xml:space="preserve">All other indirect GHG emissions that occur in the value chain of oteqdidoqx, both upstream and downstream.</w:t>
      </w:r>
    </w:p>
    <w:bookmarkEnd w:id="25"/>
    <w:bookmarkStart w:id="26" w:name="lsr-standard-update-scope-3-compliance"/>
    <w:p>
      <w:pPr>
        <w:pStyle w:val="Heading3"/>
      </w:pPr>
      <w:r>
        <w:t xml:space="preserve">1.5. 2026 LSR Standard Update &amp; Scope 3 Compliance</w:t>
      </w:r>
    </w:p>
    <w:p>
      <w:pPr>
        <w:pStyle w:val="FirstParagraph"/>
      </w:pPr>
      <w:r>
        <w:t xml:space="preserve">This analysis acknowledges and adheres to the principles of the GHG Protocol\'s</w:t>
      </w:r>
      <w:r>
        <w:t xml:space="preserve"> </w:t>
      </w:r>
      <w:r>
        <w:rPr>
          <w:bCs/>
          <w:b/>
        </w:rPr>
        <w:t xml:space="preserve">Land Sector and Removals (LSR) Standard</w:t>
      </w:r>
      <w:r>
        <w:t xml:space="preserve">, which became effective January 1, 2027. The LSR Standard provides comprehensive guidance for accounting for land management, land use change, and CO</w:t>
      </w:r>
      <w:r>
        <w:rPr>
          <w:vertAlign w:val="subscript"/>
        </w:rPr>
        <w:t xml:space="preserve">2</w:t>
      </w:r>
      <w:r>
        <w:t xml:space="preserve"> </w:t>
      </w:r>
      <w:r>
        <w:t xml:space="preserve">removals. While specific calculation guidance is still emerging (expected mid-2026), this report notes the company\'s commitment to incorporating these detailed requirements for land-related emissions and removals in future inventories as applicable.</w:t>
      </w:r>
    </w:p>
    <w:p>
      <w:pPr>
        <w:pStyle w:val="BodyText"/>
      </w:pPr>
      <w:r>
        <w:t xml:space="preserve">Furthermore, in line with the proposed</w:t>
      </w:r>
      <w:r>
        <w:t xml:space="preserve"> </w:t>
      </w:r>
      <w:r>
        <w:rPr>
          <w:bCs/>
          <w:b/>
        </w:rPr>
        <w:t xml:space="preserve">2026 GHG Protocol Scope 3 requirements</w:t>
      </w:r>
      <w:r>
        <w:t xml:space="preserve">, this analysis aims for at least 95% coverage of required Scope 3 emissions. All identified significant Scope 3 categories are included, with the understanding that exclusions must be rigorously quantified, disclosed, and justified, and not exceed 5% of total required Scope 3 emissions.</w:t>
      </w:r>
    </w:p>
    <w:p>
      <w:r>
        <w:pict>
          <v:rect style="width:0;height:1.5pt" o:hralign="center" o:hrstd="t" o:hr="t"/>
        </w:pict>
      </w:r>
    </w:p>
    <w:bookmarkEnd w:id="26"/>
    <w:bookmarkEnd w:id="27"/>
    <w:bookmarkStart w:id="33" w:name="X2bf58de29a7a901ba932b9a6a779f7f86e80a1b"/>
    <w:p>
      <w:pPr>
        <w:pStyle w:val="Heading2"/>
      </w:pPr>
      <w:r>
        <w:t xml:space="preserve">2. Lifecycle Mapping and Data Collection (LCI Inventory)</w:t>
      </w:r>
    </w:p>
    <w:p>
      <w:pPr>
        <w:pStyle w:val="FirstParagraph"/>
      </w:pPr>
      <w:r>
        <w:t xml:space="preserve">The lifecycle of pkhddysrfx has been mapped across key stages, and data collected for each. Where specific values were placeholders in the prompt, illustrative data is used to demonstrate the calculation methodology, with a clear note of this assumption.</w:t>
      </w:r>
    </w:p>
    <w:bookmarkStart w:id="28" w:name="X99534d3491f1be0f49b57acaf828e881b6d5c21"/>
    <w:p>
      <w:pPr>
        <w:pStyle w:val="Heading3"/>
      </w:pPr>
      <w:r>
        <w:t xml:space="preserve">2.1. Material Acquisition &amp; Processing (Upstream - Scope 3, Category 1)</w:t>
      </w:r>
    </w:p>
    <w:p>
      <w:pPr>
        <w:pStyle w:val="FirstParagraph"/>
      </w:pPr>
      <w:r>
        <w:t xml:space="preserve">The following detailed Bill of Materials (BOM) for pkhddysrfx (representing `wkhriuvy`) was used to calculate the material-related emissions. The "Total Carbon" value for each item is directly utilized as provided in the BOM structure, assumed to be pre-calculated from quantity and emission factor.</w:t>
      </w:r>
    </w:p>
    <w:p>
      <w:pPr>
        <w:pStyle w:val="BodyText"/>
      </w:pPr>
      <w:r>
        <w:rPr>
          <w:bCs/>
          <w:b/>
        </w:rPr>
        <w:t xml:space="preserve">Illustrative Detailed Bill of Materials (BOM) for pkhddysrfx:</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e/unit)</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(Illustrative - e.g., Ecoinvent average)</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 (Illustrative - e.g., Ecoinvent average)</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 (Illustrative - e.g., Ecoinvent average)</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 (Illustrative - e.g., Ecoinvent average)</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 (Illustrative - e.g., Ecoinvent average)</w:t>
            </w:r>
          </w:p>
        </w:tc>
        <w:tc>
          <w:tcPr/>
          <w:p>
            <w:pPr>
              <w:pStyle w:val="Compact"/>
              <w:jc w:val="left"/>
            </w:pPr>
            <w:r>
              <w:t xml:space="preserve">0.30</w:t>
            </w:r>
          </w:p>
        </w:tc>
      </w:tr>
      <w:tr>
        <w:tc>
          <w:tcPr>
            <w:gridSpan w:val="7"/>
          </w:tcPr>
          <w:p>
            <w:pPr>
              <w:pStyle w:val="Compact"/>
              <w:jc w:val="right"/>
            </w:pPr>
            <w:r>
              <w:rPr>
                <w:bCs/>
                <w:b/>
              </w:rPr>
              <w:t xml:space="preserve">Total Material Emissions:</w:t>
            </w:r>
          </w:p>
        </w:tc>
        <w:tc>
          <w:tcPr/>
          <w:p>
            <w:pPr>
              <w:pStyle w:val="Compact"/>
              <w:jc w:val="left"/>
            </w:pPr>
            <w:r>
              <w:rPr>
                <w:bCs/>
                <w:b/>
              </w:rPr>
              <w:t xml:space="preserve">7.60 kg CO</w:t>
            </w:r>
            <w:r>
              <w:rPr>
                <w:vertAlign w:val="subscript"/>
                <w:bCs/>
                <w:b/>
              </w:rPr>
              <w:t xml:space="preserve">2</w:t>
            </w:r>
            <w:r>
              <w:rPr>
                <w:bCs/>
                <w:b/>
              </w:rPr>
              <w:t xml:space="preserve">e</w:t>
            </w:r>
          </w:p>
        </w:tc>
      </w:tr>
    </w:tbl>
    <w:p>
      <w:pPr>
        <w:pStyle w:val="BodyText"/>
      </w:pPr>
      <w:r>
        <w:rPr>
          <w:iCs/>
          <w:i/>
        </w:rPr>
        <w:t xml:space="preserve">Note: The "Emission Factor" and "Total Carbon" values in the BOM table are illustrative and used for demonstration purposes, as specific numeric data for `wkhriuvy` was not provided in the prompt. Industry-standard emission factors from databases like Ecoinvent or DEFRA would be used for actual calculations.</w:t>
      </w:r>
    </w:p>
    <w:bookmarkEnd w:id="28"/>
    <w:bookmarkStart w:id="29" w:name="manufacturing-production-phase"/>
    <w:p>
      <w:pPr>
        <w:pStyle w:val="Heading3"/>
      </w:pPr>
      <w:r>
        <w:t xml:space="preserve">2.2. Manufacturing (Production Phase)</w:t>
      </w:r>
    </w:p>
    <w:p>
      <w:pPr>
        <w:pStyle w:val="FirstParagraph"/>
      </w:pPr>
      <w:r>
        <w:t xml:space="preserve">The energy consumed during the manufacturing of pkhddysrfx is a significant factor.</w:t>
      </w:r>
    </w:p>
    <w:p>
      <w:pPr>
        <w:numPr>
          <w:ilvl w:val="0"/>
          <w:numId w:val="1003"/>
        </w:numPr>
        <w:pStyle w:val="Compact"/>
      </w:pPr>
      <w:r>
        <w:rPr>
          <w:bCs/>
          <w:b/>
        </w:rPr>
        <w:t xml:space="preserve">Energy Intensity (`hqslnsvudo`):</w:t>
      </w:r>
      <w:r>
        <w:t xml:space="preserve"> </w:t>
      </w:r>
      <w:r>
        <w:t xml:space="preserve">15 kWh/unit (Illustrative)</w:t>
      </w:r>
    </w:p>
    <w:p>
      <w:pPr>
        <w:numPr>
          <w:ilvl w:val="0"/>
          <w:numId w:val="1003"/>
        </w:numPr>
        <w:pStyle w:val="Compact"/>
      </w:pPr>
      <w:r>
        <w:rPr>
          <w:bCs/>
          <w:b/>
        </w:rPr>
        <w:t xml:space="preserve">Renewable Energy Usage (`zwkppiyfzf`):</w:t>
      </w:r>
      <w:r>
        <w:t xml:space="preserve"> </w:t>
      </w:r>
      <w:r>
        <w:t xml:space="preserve">70% (Illustrative)</w:t>
      </w:r>
    </w:p>
    <w:p>
      <w:pPr>
        <w:numPr>
          <w:ilvl w:val="0"/>
          <w:numId w:val="1003"/>
        </w:numPr>
        <w:pStyle w:val="Compact"/>
      </w:pPr>
      <w:r>
        <w:rPr>
          <w:bCs/>
          <w:b/>
        </w:rPr>
        <w:t xml:space="preserve">Grid Emission Factor (China, illustrative):</w:t>
      </w:r>
      <w:r>
        <w:t xml:space="preserve"> </w:t>
      </w:r>
      <w:r>
        <w:t xml:space="preserve">0.6 kg CO</w:t>
      </w:r>
      <w:r>
        <w:rPr>
          <w:vertAlign w:val="subscript"/>
        </w:rPr>
        <w:t xml:space="preserve">2</w:t>
      </w:r>
      <w:r>
        <w:t xml:space="preserve">e/kWh</w:t>
      </w:r>
    </w:p>
    <w:p>
      <w:pPr>
        <w:pStyle w:val="FirstParagraph"/>
      </w:pPr>
      <w:r>
        <w:t xml:space="preserve">This leads to the following calculation for purchased electricity (Scope 2):</w:t>
      </w:r>
    </w:p>
    <w:p>
      <w:pPr>
        <w:numPr>
          <w:ilvl w:val="0"/>
          <w:numId w:val="1004"/>
        </w:numPr>
        <w:pStyle w:val="Compact"/>
      </w:pPr>
      <w:r>
        <w:t xml:space="preserve">Non-renewable energy consumption = 15 kWh/unit * (1 - 0.70) = 4.5 kWh/unit</w:t>
      </w:r>
    </w:p>
    <w:p>
      <w:pPr>
        <w:numPr>
          <w:ilvl w:val="0"/>
          <w:numId w:val="1004"/>
        </w:numPr>
        <w:pStyle w:val="Compact"/>
      </w:pPr>
      <w:r>
        <w:rPr>
          <w:bCs/>
          <w:b/>
        </w:rPr>
        <w:t xml:space="preserve">Production Phase Emissions (Scope 2)</w:t>
      </w:r>
      <w:r>
        <w:t xml:space="preserve"> </w:t>
      </w:r>
      <w:r>
        <w:t xml:space="preserve">= 4.5 kWh/unit * 0.6 kg CO</w:t>
      </w:r>
      <w:r>
        <w:rPr>
          <w:vertAlign w:val="subscript"/>
        </w:rPr>
        <w:t xml:space="preserve">2</w:t>
      </w:r>
      <w:r>
        <w:t xml:space="preserve">e/kWh =</w:t>
      </w:r>
      <w:r>
        <w:t xml:space="preserve"> </w:t>
      </w:r>
      <w:r>
        <w:rPr>
          <w:bCs/>
          <w:b/>
        </w:rPr>
        <w:t xml:space="preserve">2.70 kg CO</w:t>
      </w:r>
      <w:r>
        <w:rPr>
          <w:vertAlign w:val="subscript"/>
          <w:bCs/>
          <w:b/>
        </w:rPr>
        <w:t xml:space="preserve">2</w:t>
      </w:r>
      <w:r>
        <w:rPr>
          <w:bCs/>
          <w:b/>
        </w:rPr>
        <w:t xml:space="preserve">e</w:t>
      </w:r>
    </w:p>
    <w:bookmarkEnd w:id="29"/>
    <w:bookmarkStart w:id="30" w:name="Xfee44cc992a15732f7eb7a80ff7ed65120f1554"/>
    <w:p>
      <w:pPr>
        <w:pStyle w:val="Heading3"/>
      </w:pPr>
      <w:r>
        <w:t xml:space="preserve">2.3. Transport and Distribution (Upstream &amp; Downstream - Scope 3, Category 4 &amp; 9)</w:t>
      </w:r>
    </w:p>
    <w:p>
      <w:pPr>
        <w:pStyle w:val="FirstParagraph"/>
      </w:pPr>
      <w:r>
        <w:t xml:space="preserve">Logistics data for both inbound and outbound transport are considered.</w:t>
      </w:r>
    </w:p>
    <w:p>
      <w:pPr>
        <w:numPr>
          <w:ilvl w:val="0"/>
          <w:numId w:val="1005"/>
        </w:numPr>
        <w:pStyle w:val="Compact"/>
      </w:pPr>
      <w:r>
        <w:rPr>
          <w:bCs/>
          <w:b/>
        </w:rPr>
        <w:t xml:space="preserve">Transport Mode (`Select Mode`):</w:t>
      </w:r>
      <w:r>
        <w:t xml:space="preserve"> </w:t>
      </w:r>
      <w:r>
        <w:t xml:space="preserve">Truck (Illustrative)</w:t>
      </w:r>
    </w:p>
    <w:p>
      <w:pPr>
        <w:numPr>
          <w:ilvl w:val="0"/>
          <w:numId w:val="1005"/>
        </w:numPr>
        <w:pStyle w:val="Compact"/>
      </w:pPr>
      <w:r>
        <w:rPr>
          <w:bCs/>
          <w:b/>
        </w:rPr>
        <w:t xml:space="preserve">Transport Distance (`nwimmdtoqx`):</w:t>
      </w:r>
      <w:r>
        <w:t xml:space="preserve"> </w:t>
      </w:r>
      <w:r>
        <w:t xml:space="preserve">1500 km (Illustrative)</w:t>
      </w:r>
    </w:p>
    <w:p>
      <w:pPr>
        <w:numPr>
          <w:ilvl w:val="0"/>
          <w:numId w:val="1005"/>
        </w:numPr>
        <w:pStyle w:val="Compact"/>
      </w:pPr>
      <w:r>
        <w:rPr>
          <w:bCs/>
          <w:b/>
        </w:rPr>
        <w:t xml:space="preserve">Last-Mile Delivery Channel (`Delivery Type`):</w:t>
      </w:r>
      <w:r>
        <w:t xml:space="preserve"> </w:t>
      </w:r>
      <w:r>
        <w:t xml:space="preserve">Standard Parcel Service (Illustrative, assumed to use truck)</w:t>
      </w:r>
    </w:p>
    <w:p>
      <w:pPr>
        <w:numPr>
          <w:ilvl w:val="0"/>
          <w:numId w:val="1005"/>
        </w:numPr>
        <w:pStyle w:val="Compact"/>
      </w:pPr>
      <w:r>
        <w:rPr>
          <w:bCs/>
          <w:b/>
        </w:rPr>
        <w:t xml:space="preserve">Total Product Weight (from BOM materials):</w:t>
      </w:r>
      <w:r>
        <w:t xml:space="preserve"> </w:t>
      </w:r>
      <w:r>
        <w:t xml:space="preserve">2.1 kg (0.5+0.3+1.0+0.1+0.2 kg, assuming PCB unit is 1.0 kg)</w:t>
      </w:r>
    </w:p>
    <w:p>
      <w:pPr>
        <w:numPr>
          <w:ilvl w:val="0"/>
          <w:numId w:val="1005"/>
        </w:numPr>
        <w:pStyle w:val="Compact"/>
      </w:pPr>
      <w:r>
        <w:rPr>
          <w:bCs/>
          <w:b/>
        </w:rPr>
        <w:t xml:space="preserve">Emission Factor for Truck (illustrative, e.g., DEFRA average for freight):</w:t>
      </w:r>
      <w:r>
        <w:t xml:space="preserve"> </w:t>
      </w:r>
      <w:r>
        <w:t xml:space="preserve">0.08 kg CO</w:t>
      </w:r>
      <w:r>
        <w:rPr>
          <w:vertAlign w:val="subscript"/>
        </w:rPr>
        <w:t xml:space="preserve">2</w:t>
      </w:r>
      <w:r>
        <w:t xml:space="preserve">e/tonne-km</w:t>
      </w:r>
    </w:p>
    <w:p>
      <w:pPr>
        <w:pStyle w:val="FirstParagraph"/>
      </w:pPr>
      <w:r>
        <w:t xml:space="preserve">Calculation for transport emissions (assumed to be primarily upstream for factory_gate boundary):</w:t>
      </w:r>
    </w:p>
    <w:p>
      <w:pPr>
        <w:numPr>
          <w:ilvl w:val="0"/>
          <w:numId w:val="1006"/>
        </w:numPr>
        <w:pStyle w:val="Compact"/>
      </w:pPr>
      <w:r>
        <w:t xml:space="preserve">Transport Emissions = (Product Weight in tonnes) * Transport Distance * Emission Factor</w:t>
      </w:r>
    </w:p>
    <w:p>
      <w:pPr>
        <w:numPr>
          <w:ilvl w:val="0"/>
          <w:numId w:val="1006"/>
        </w:numPr>
        <w:pStyle w:val="Compact"/>
      </w:pPr>
      <w:r>
        <w:t xml:space="preserve">Transport Emissions = (2.1 kg / 1000 kg/tonne) * 1500 km * 0.08 kg CO</w:t>
      </w:r>
      <w:r>
        <w:rPr>
          <w:vertAlign w:val="subscript"/>
        </w:rPr>
        <w:t xml:space="preserve">2</w:t>
      </w:r>
      <w:r>
        <w:t xml:space="preserve">e/tonne-km</w:t>
      </w:r>
    </w:p>
    <w:p>
      <w:pPr>
        <w:numPr>
          <w:ilvl w:val="0"/>
          <w:numId w:val="1006"/>
        </w:numPr>
        <w:pStyle w:val="Compact"/>
      </w:pPr>
      <w:r>
        <w:rPr>
          <w:bCs/>
          <w:b/>
        </w:rPr>
        <w:t xml:space="preserve">Transport Emissions (Scope 3, Category 4)</w:t>
      </w:r>
      <w:r>
        <w:t xml:space="preserve"> </w:t>
      </w:r>
      <w:r>
        <w:t xml:space="preserve">= 0.0021 tonnes * 1500 km * 0.08 kg CO</w:t>
      </w:r>
      <w:r>
        <w:rPr>
          <w:vertAlign w:val="subscript"/>
        </w:rPr>
        <w:t xml:space="preserve">2</w:t>
      </w:r>
      <w:r>
        <w:t xml:space="preserve">e/tonne-km =</w:t>
      </w:r>
      <w:r>
        <w:t xml:space="preserve"> </w:t>
      </w:r>
      <w:r>
        <w:rPr>
          <w:bCs/>
          <w:b/>
        </w:rPr>
        <w:t xml:space="preserve">0.25 kg CO</w:t>
      </w:r>
      <w:r>
        <w:rPr>
          <w:vertAlign w:val="subscript"/>
          <w:bCs/>
          <w:b/>
        </w:rPr>
        <w:t xml:space="preserve">2</w:t>
      </w:r>
      <w:r>
        <w:rPr>
          <w:bCs/>
          <w:b/>
        </w:rPr>
        <w:t xml:space="preserve">e</w:t>
      </w:r>
    </w:p>
    <w:p>
      <w:pPr>
        <w:pStyle w:val="FirstParagraph"/>
      </w:pPr>
      <w:r>
        <w:rPr>
          <w:iCs/>
          <w:i/>
        </w:rPr>
        <w:t xml:space="preserve">Note: The transport mode, distance, delivery channel, and associated emission factor are illustrative. Real-world data would require specific freight and logistics records.</w:t>
      </w:r>
    </w:p>
    <w:bookmarkEnd w:id="30"/>
    <w:bookmarkStart w:id="31" w:name="X01fffecb4d51cf9638741502492363d57dc681a"/>
    <w:p>
      <w:pPr>
        <w:pStyle w:val="Heading3"/>
      </w:pPr>
      <w:r>
        <w:t xml:space="preserve">2.4. Use Phase (Downstream - Scope 3, Category 11)</w:t>
      </w:r>
    </w:p>
    <w:p>
      <w:pPr>
        <w:pStyle w:val="FirstParagraph"/>
      </w:pPr>
      <w:r>
        <w:t xml:space="preserve">The energy consumption during the product\'s use phase is a significant contributor to its overall footprint.</w:t>
      </w:r>
    </w:p>
    <w:p>
      <w:pPr>
        <w:numPr>
          <w:ilvl w:val="0"/>
          <w:numId w:val="1007"/>
        </w:numPr>
        <w:pStyle w:val="Compact"/>
      </w:pPr>
      <w:r>
        <w:rPr>
          <w:bCs/>
          <w:b/>
        </w:rPr>
        <w:t xml:space="preserve">Product Lifespan (`loywgikmos`):</w:t>
      </w:r>
      <w:r>
        <w:t xml:space="preserve"> </w:t>
      </w:r>
      <w:r>
        <w:t xml:space="preserve">7 years (Illustrative)</w:t>
      </w:r>
    </w:p>
    <w:p>
      <w:pPr>
        <w:numPr>
          <w:ilvl w:val="0"/>
          <w:numId w:val="1007"/>
        </w:numPr>
        <w:pStyle w:val="Compact"/>
      </w:pPr>
      <w:r>
        <w:rPr>
          <w:bCs/>
          <w:b/>
        </w:rPr>
        <w:t xml:space="preserve">Energy Consumption in Use (`oeqxfmidgj`):</w:t>
      </w:r>
      <w:r>
        <w:t xml:space="preserve"> </w:t>
      </w:r>
      <w:r>
        <w:t xml:space="preserve">10 kWh/year (Illustrative)</w:t>
      </w:r>
    </w:p>
    <w:p>
      <w:pPr>
        <w:numPr>
          <w:ilvl w:val="0"/>
          <w:numId w:val="1007"/>
        </w:numPr>
        <w:pStyle w:val="Compact"/>
      </w:pPr>
      <w:r>
        <w:rPr>
          <w:bCs/>
          <w:b/>
        </w:rPr>
        <w:t xml:space="preserve">Grid Emission Factor (average for user region, illustrative):</w:t>
      </w:r>
      <w:r>
        <w:t xml:space="preserve"> </w:t>
      </w:r>
      <w:r>
        <w:t xml:space="preserve">0.4 kg CO</w:t>
      </w:r>
      <w:r>
        <w:rPr>
          <w:vertAlign w:val="subscript"/>
        </w:rPr>
        <w:t xml:space="preserve">2</w:t>
      </w:r>
      <w:r>
        <w:t xml:space="preserve">e/kWh</w:t>
      </w:r>
    </w:p>
    <w:p>
      <w:pPr>
        <w:pStyle w:val="FirstParagraph"/>
      </w:pPr>
      <w:r>
        <w:t xml:space="preserve">Calculation for use phase emissions:</w:t>
      </w:r>
    </w:p>
    <w:p>
      <w:pPr>
        <w:numPr>
          <w:ilvl w:val="0"/>
          <w:numId w:val="1008"/>
        </w:numPr>
        <w:pStyle w:val="Compact"/>
      </w:pPr>
      <w:r>
        <w:t xml:space="preserve">Use Phase Emissions = Product Lifespan * Annual Energy Consumption * Grid Emission Factor</w:t>
      </w:r>
    </w:p>
    <w:p>
      <w:pPr>
        <w:numPr>
          <w:ilvl w:val="0"/>
          <w:numId w:val="1008"/>
        </w:numPr>
        <w:pStyle w:val="Compact"/>
      </w:pPr>
      <w:r>
        <w:t xml:space="preserve">Use Phase Emissions = 7 years * 10 kWh/year * 0.4 kg CO</w:t>
      </w:r>
      <w:r>
        <w:rPr>
          <w:vertAlign w:val="subscript"/>
        </w:rPr>
        <w:t xml:space="preserve">2</w:t>
      </w:r>
      <w:r>
        <w:t xml:space="preserve">e/kWh</w:t>
      </w:r>
    </w:p>
    <w:p>
      <w:pPr>
        <w:numPr>
          <w:ilvl w:val="0"/>
          <w:numId w:val="1008"/>
        </w:numPr>
        <w:pStyle w:val="Compact"/>
      </w:pPr>
      <w:r>
        <w:rPr>
          <w:bCs/>
          <w:b/>
        </w:rPr>
        <w:t xml:space="preserve">Use Phase Emissions (Scope 3, Category 11)</w:t>
      </w:r>
      <w:r>
        <w:t xml:space="preserve"> </w:t>
      </w:r>
      <w:r>
        <w:t xml:space="preserve">=</w:t>
      </w:r>
      <w:r>
        <w:t xml:space="preserve"> </w:t>
      </w:r>
      <w:r>
        <w:rPr>
          <w:bCs/>
          <w:b/>
        </w:rPr>
        <w:t xml:space="preserve">28.00 kg CO</w:t>
      </w:r>
      <w:r>
        <w:rPr>
          <w:vertAlign w:val="subscript"/>
          <w:bCs/>
          <w:b/>
        </w:rPr>
        <w:t xml:space="preserve">2</w:t>
      </w:r>
      <w:r>
        <w:rPr>
          <w:bCs/>
          <w:b/>
        </w:rPr>
        <w:t xml:space="preserve">e</w:t>
      </w:r>
    </w:p>
    <w:p>
      <w:pPr>
        <w:pStyle w:val="FirstParagraph"/>
      </w:pPr>
      <w:r>
        <w:rPr>
          <w:iCs/>
          <w:i/>
        </w:rPr>
        <w:t xml:space="preserve">Note: Product lifespan and energy consumption in use are illustrative. Actual figures would come from product testing or customer usage data.</w:t>
      </w:r>
    </w:p>
    <w:bookmarkEnd w:id="31"/>
    <w:bookmarkStart w:id="32" w:name="X9c0ae82b25d76f37a2834bd60185fdb72258056"/>
    <w:p>
      <w:pPr>
        <w:pStyle w:val="Heading3"/>
      </w:pPr>
      <w:r>
        <w:t xml:space="preserve">2.5. End-of-Life (EoL) Treatment (Downstream - Scope 3, Category 12)</w:t>
      </w:r>
    </w:p>
    <w:p>
      <w:pPr>
        <w:pStyle w:val="FirstParagraph"/>
      </w:pPr>
      <w:r>
        <w:t xml:space="preserve">The end-of-life scenario considers recyclability and circular economy programs.</w:t>
      </w:r>
    </w:p>
    <w:p>
      <w:pPr>
        <w:numPr>
          <w:ilvl w:val="0"/>
          <w:numId w:val="1009"/>
        </w:numPr>
        <w:pStyle w:val="Compact"/>
      </w:pPr>
      <w:r>
        <w:rPr>
          <w:bCs/>
          <w:b/>
        </w:rPr>
        <w:t xml:space="preserve">Recyclability Percentage (`vlorqgyfon`):</w:t>
      </w:r>
      <w:r>
        <w:t xml:space="preserve"> </w:t>
      </w:r>
      <w:r>
        <w:t xml:space="preserve">90% (Illustrative)</w:t>
      </w:r>
    </w:p>
    <w:p>
      <w:pPr>
        <w:numPr>
          <w:ilvl w:val="0"/>
          <w:numId w:val="1009"/>
        </w:numPr>
        <w:pStyle w:val="Compact"/>
      </w:pPr>
      <w:r>
        <w:rPr>
          <w:bCs/>
          <w:b/>
        </w:rPr>
        <w:t xml:space="preserve">Circular/Take-back Programs (`qgkrphhonp`):</w:t>
      </w:r>
      <w:r>
        <w:t xml:space="preserve"> </w:t>
      </w:r>
      <w:r>
        <w:t xml:space="preserve">Established, actively promoted.</w:t>
      </w:r>
    </w:p>
    <w:p>
      <w:pPr>
        <w:numPr>
          <w:ilvl w:val="0"/>
          <w:numId w:val="1009"/>
        </w:numPr>
        <w:pStyle w:val="Compact"/>
      </w:pPr>
      <w:r>
        <w:rPr>
          <w:bCs/>
          <w:b/>
        </w:rPr>
        <w:t xml:space="preserve">Product Mass:</w:t>
      </w:r>
      <w:r>
        <w:t xml:space="preserve"> </w:t>
      </w:r>
      <w:r>
        <w:t xml:space="preserve">2.1 kg</w:t>
      </w:r>
    </w:p>
    <w:p>
      <w:pPr>
        <w:numPr>
          <w:ilvl w:val="0"/>
          <w:numId w:val="1009"/>
        </w:numPr>
        <w:pStyle w:val="Compact"/>
      </w:pPr>
      <w:r>
        <w:rPr>
          <w:bCs/>
          <w:b/>
        </w:rPr>
        <w:t xml:space="preserve">Disposal Emission Factor (e.g., landfill for non-recycled waste, illustrative):</w:t>
      </w:r>
      <w:r>
        <w:t xml:space="preserve"> </w:t>
      </w:r>
      <w:r>
        <w:t xml:space="preserve">0.05 kg CO</w:t>
      </w:r>
      <w:r>
        <w:rPr>
          <w:vertAlign w:val="subscript"/>
        </w:rPr>
        <w:t xml:space="preserve">2</w:t>
      </w:r>
      <w:r>
        <w:t xml:space="preserve">e/kg</w:t>
      </w:r>
    </w:p>
    <w:p>
      <w:pPr>
        <w:pStyle w:val="FirstParagraph"/>
      </w:pPr>
      <w:r>
        <w:t xml:space="preserve">Calculation for EoL emissions (assuming a burden for the non-recycled portion):</w:t>
      </w:r>
    </w:p>
    <w:p>
      <w:pPr>
        <w:numPr>
          <w:ilvl w:val="0"/>
          <w:numId w:val="1010"/>
        </w:numPr>
        <w:pStyle w:val="Compact"/>
      </w:pPr>
      <w:r>
        <w:t xml:space="preserve">Non-recycled portion = (1 - 0.90) = 0.10</w:t>
      </w:r>
    </w:p>
    <w:p>
      <w:pPr>
        <w:numPr>
          <w:ilvl w:val="0"/>
          <w:numId w:val="1010"/>
        </w:numPr>
        <w:pStyle w:val="Compact"/>
      </w:pPr>
      <w:r>
        <w:t xml:space="preserve">EoL Emissions = Product Mass * Non-recycled portion * Disposal Emission Factor</w:t>
      </w:r>
    </w:p>
    <w:p>
      <w:pPr>
        <w:numPr>
          <w:ilvl w:val="0"/>
          <w:numId w:val="1010"/>
        </w:numPr>
        <w:pStyle w:val="Compact"/>
      </w:pPr>
      <w:r>
        <w:t xml:space="preserve">EoL Emissions = 2.1 kg * 0.10 * 0.05 kg CO</w:t>
      </w:r>
      <w:r>
        <w:rPr>
          <w:vertAlign w:val="subscript"/>
        </w:rPr>
        <w:t xml:space="preserve">2</w:t>
      </w:r>
      <w:r>
        <w:t xml:space="preserve">e/kg</w:t>
      </w:r>
    </w:p>
    <w:p>
      <w:pPr>
        <w:numPr>
          <w:ilvl w:val="0"/>
          <w:numId w:val="1010"/>
        </w:numPr>
        <w:pStyle w:val="Compact"/>
      </w:pPr>
      <w:r>
        <w:rPr>
          <w:bCs/>
          <w:b/>
        </w:rPr>
        <w:t xml:space="preserve">EoL Emissions (Scope 3, Category 12)</w:t>
      </w:r>
      <w:r>
        <w:t xml:space="preserve"> </w:t>
      </w:r>
      <w:r>
        <w:t xml:space="preserve">=</w:t>
      </w:r>
      <w:r>
        <w:t xml:space="preserve"> </w:t>
      </w:r>
      <w:r>
        <w:rPr>
          <w:bCs/>
          <w:b/>
        </w:rPr>
        <w:t xml:space="preserve">0.01 kg CO</w:t>
      </w:r>
      <w:r>
        <w:rPr>
          <w:vertAlign w:val="subscript"/>
          <w:bCs/>
          <w:b/>
        </w:rPr>
        <w:t xml:space="preserve">2</w:t>
      </w:r>
      <w:r>
        <w:rPr>
          <w:bCs/>
          <w:b/>
        </w:rPr>
        <w:t xml:space="preserve">e</w:t>
      </w:r>
    </w:p>
    <w:p>
      <w:pPr>
        <w:pStyle w:val="FirstParagraph"/>
      </w:pPr>
      <w:r>
        <w:rPr>
          <w:iCs/>
          <w:i/>
        </w:rPr>
        <w:t xml:space="preserve">Note: Recyclability percentage and disposal emission factors are illustrative. Actual EoL impacts would require detailed waste management data.</w:t>
      </w:r>
    </w:p>
    <w:p>
      <w:r>
        <w:pict>
          <v:rect style="width:0;height:1.5pt" o:hralign="center" o:hrstd="t" o:hr="t"/>
        </w:pict>
      </w:r>
    </w:p>
    <w:bookmarkEnd w:id="32"/>
    <w:bookmarkEnd w:id="33"/>
    <w:bookmarkStart w:id="35" w:name="X439a6e6dcb43c636bf515ffaf3f59bce0bd6490"/>
    <w:p>
      <w:pPr>
        <w:pStyle w:val="Heading2"/>
      </w:pPr>
      <w:r>
        <w:t xml:space="preserve">3. Emission Calculation (Activity * Emission Factor = CO</w:t>
      </w:r>
      <w:r>
        <w:rPr>
          <w:vertAlign w:val="subscript"/>
        </w:rPr>
        <w:t xml:space="preserve">2</w:t>
      </w:r>
      <w:r>
        <w:t xml:space="preserve">e)</w:t>
      </w:r>
    </w:p>
    <w:p>
      <w:pPr>
        <w:pStyle w:val="FirstParagraph"/>
      </w:pPr>
      <w:r>
        <w:t xml:space="preserve">Emissions are calculated by multiplying activity data by appropriate emission factors. For this report, industry-standard emission factors, often derived from databases such as Ecoinvent or DEFRA, are used as benchmarks. As mentioned, illustrative values are employed where specific, quantitative parameters were not provided in a calculable format.</w:t>
      </w:r>
    </w:p>
    <w:bookmarkStart w:id="34" w:name="X5bfff41097940a31961c4db4494804084aae818"/>
    <w:p>
      <w:pPr>
        <w:pStyle w:val="Heading3"/>
      </w:pPr>
      <w:r>
        <w:t xml:space="preserve">3.1. Summary of Product Carbon Footprint by Scope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w:t>
            </w:r>
            <w:r>
              <w:rPr>
                <w:vertAlign w:val="subscript"/>
              </w:rPr>
              <w:t xml:space="preserve">2</w:t>
            </w:r>
            <w:r>
              <w:t xml:space="preserve">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On-site combustion, company vehicles (Assumed negligible for product-specific factory_gate boundary; enterprise-level reporting would include these if applicable).</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Emissions from non-renewable portion of electricity consumed during manufacturing.</w:t>
            </w:r>
          </w:p>
        </w:tc>
        <w:tc>
          <w:tcPr/>
          <w:p>
            <w:pPr>
              <w:pStyle w:val="Compact"/>
              <w:jc w:val="left"/>
            </w:pPr>
            <w:r>
              <w:t xml:space="preserve">2.70</w:t>
            </w:r>
          </w:p>
        </w:tc>
        <w:tc>
          <w:tcPr/>
          <w:p>
            <w:pPr>
              <w:pStyle w:val="Compact"/>
              <w:jc w:val="left"/>
            </w:pPr>
            <w:r>
              <w:t xml:space="preserve">7.0%</w:t>
            </w:r>
          </w:p>
        </w:tc>
      </w:tr>
      <w:tr>
        <w:tc>
          <w:tcPr>
            <w:vMerge w:val="restart"/>
          </w:tcPr>
          <w:p>
            <w:pPr>
              <w:pStyle w:val="Compact"/>
              <w:jc w:val="left"/>
            </w:pPr>
            <w:r>
              <w:rPr>
                <w:bCs/>
                <w:b/>
              </w:rPr>
              <w:t xml:space="preserve">Scope 3</w:t>
            </w:r>
          </w:p>
        </w:tc>
        <w:tc>
          <w:tcPr/>
          <w:p>
            <w:pPr>
              <w:pStyle w:val="Compact"/>
              <w:jc w:val="left"/>
            </w:pPr>
            <w:r>
              <w:t xml:space="preserve">Category 1: Purchased Goods &amp; Services</w:t>
            </w:r>
          </w:p>
        </w:tc>
        <w:tc>
          <w:tcPr/>
          <w:p>
            <w:pPr>
              <w:pStyle w:val="Compact"/>
              <w:jc w:val="left"/>
            </w:pPr>
            <w:r>
              <w:t xml:space="preserve">Emissions from raw material extraction, processing, and component manufacturing (from BOM).</w:t>
            </w:r>
          </w:p>
        </w:tc>
        <w:tc>
          <w:tcPr/>
          <w:p>
            <w:pPr>
              <w:pStyle w:val="Compact"/>
              <w:jc w:val="left"/>
            </w:pPr>
            <w:r>
              <w:t xml:space="preserve">7.60</w:t>
            </w:r>
          </w:p>
        </w:tc>
        <w:tc>
          <w:tcPr/>
          <w:p>
            <w:pPr>
              <w:pStyle w:val="Compact"/>
              <w:jc w:val="left"/>
            </w:pPr>
            <w:r>
              <w:t xml:space="preserve">19.7%</w:t>
            </w:r>
          </w:p>
        </w:tc>
      </w:tr>
      <w:tr>
        <w:tc>
          <w:tcPr>
            <w:gridSpan w:val="1"/>
            <w:vMerge w:val="continue"/>
          </w:tcPr>
          <w:p>
            <w:pPr/>
          </w:p>
        </w:tc>
        <w:tc>
          <w:tcPr/>
          <w:p>
            <w:pPr>
              <w:pStyle w:val="Compact"/>
              <w:jc w:val="left"/>
            </w:pPr>
            <w:r>
              <w:t xml:space="preserve">Category 4: Upstream Transport &amp; Distribution</w:t>
            </w:r>
          </w:p>
        </w:tc>
        <w:tc>
          <w:tcPr/>
          <w:p>
            <w:pPr>
              <w:pStyle w:val="Compact"/>
              <w:jc w:val="left"/>
            </w:pPr>
            <w:r>
              <w:t xml:space="preserve">Emissions from inbound logistics of materials to manufacturing facility.</w:t>
            </w:r>
          </w:p>
        </w:tc>
        <w:tc>
          <w:tcPr/>
          <w:p>
            <w:pPr>
              <w:pStyle w:val="Compact"/>
              <w:jc w:val="left"/>
            </w:pPr>
            <w:r>
              <w:t xml:space="preserve">0.25</w:t>
            </w:r>
          </w:p>
        </w:tc>
        <w:tc>
          <w:tcPr/>
          <w:p>
            <w:pPr>
              <w:pStyle w:val="Compact"/>
              <w:jc w:val="left"/>
            </w:pPr>
            <w:r>
              <w:t xml:space="preserve">0.6%</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Emissions from energy consumption during the product\'s useful life.</w:t>
            </w:r>
          </w:p>
        </w:tc>
        <w:tc>
          <w:tcPr/>
          <w:p>
            <w:pPr>
              <w:pStyle w:val="Compact"/>
              <w:jc w:val="left"/>
            </w:pPr>
            <w:r>
              <w:t xml:space="preserve">28.00</w:t>
            </w:r>
          </w:p>
        </w:tc>
        <w:tc>
          <w:tcPr/>
          <w:p>
            <w:pPr>
              <w:pStyle w:val="Compact"/>
              <w:jc w:val="left"/>
            </w:pPr>
            <w:r>
              <w:t xml:space="preserve">72.6%</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Emissions from disposal of non-recycled product components.</w:t>
            </w:r>
          </w:p>
        </w:tc>
        <w:tc>
          <w:tcPr/>
          <w:p>
            <w:pPr>
              <w:pStyle w:val="Compact"/>
              <w:jc w:val="left"/>
            </w:pPr>
            <w:r>
              <w:t xml:space="preserve">0.01</w:t>
            </w:r>
          </w:p>
        </w:tc>
        <w:tc>
          <w:tcPr/>
          <w:p>
            <w:pPr>
              <w:pStyle w:val="Compact"/>
              <w:jc w:val="left"/>
            </w:pPr>
            <w:r>
              <w:t xml:space="preserve">0.0%</w:t>
            </w:r>
          </w:p>
        </w:tc>
      </w:tr>
      <w:tr>
        <w:tc>
          <w:tcPr>
            <w:gridSpan w:val="3"/>
          </w:tcPr>
          <w:p>
            <w:pPr>
              <w:pStyle w:val="Compact"/>
              <w:jc w:val="right"/>
            </w:pPr>
            <w:r>
              <w:rPr>
                <w:bCs/>
                <w:b/>
              </w:rPr>
              <w:t xml:space="preserve">Total Product Carbon Footprint (PCF) for 1 unit of pkhddysrfx:</w:t>
            </w:r>
          </w:p>
        </w:tc>
        <w:tc>
          <w:tcPr/>
          <w:p>
            <w:pPr>
              <w:pStyle w:val="Compact"/>
              <w:jc w:val="left"/>
            </w:pPr>
            <w:r>
              <w:rPr>
                <w:bCs/>
                <w:b/>
              </w:rPr>
              <w:t xml:space="preserve">38.56</w:t>
            </w:r>
          </w:p>
        </w:tc>
        <w:tc>
          <w:tcPr/>
          <w:p>
            <w:pPr>
              <w:pStyle w:val="Compact"/>
              <w:jc w:val="left"/>
            </w:pPr>
            <w:r>
              <w:rPr>
                <w:bCs/>
                <w:b/>
              </w:rPr>
              <w:t xml:space="preserve">100.0%</w:t>
            </w:r>
          </w:p>
        </w:tc>
      </w:tr>
    </w:tbl>
    <w:p>
      <w:pPr>
        <w:pStyle w:val="BodyText"/>
      </w:pPr>
      <w:r>
        <w:rPr>
          <w:iCs/>
          <w:i/>
        </w:rPr>
        <w:t xml:space="preserve">Note: All calculations above use illustrative data as specified in the report, clearly distinguishing between provided parameters and generated examples. Percentages may not sum to exactly 100% due to rounding.</w:t>
      </w:r>
    </w:p>
    <w:p>
      <w:r>
        <w:pict>
          <v:rect style="width:0;height:1.5pt" o:hralign="center" o:hrstd="t" o:hr="t"/>
        </w:pict>
      </w:r>
    </w:p>
    <w:bookmarkEnd w:id="34"/>
    <w:bookmarkEnd w:id="35"/>
    <w:bookmarkStart w:id="39" w:name="review-report"/>
    <w:p>
      <w:pPr>
        <w:pStyle w:val="Heading2"/>
      </w:pPr>
      <w:r>
        <w:t xml:space="preserve">4. Review &amp; Report</w:t>
      </w:r>
    </w:p>
    <w:bookmarkStart w:id="36" w:name="emission-hotspots"/>
    <w:p>
      <w:pPr>
        <w:pStyle w:val="Heading3"/>
      </w:pPr>
      <w:r>
        <w:t xml:space="preserve">4.1. Emission Hotspots</w:t>
      </w:r>
    </w:p>
    <w:p>
      <w:pPr>
        <w:pStyle w:val="FirstParagraph"/>
      </w:pPr>
      <w:r>
        <w:t xml:space="preserve">The analysis reveals the following key emission hotspots for pkhddysrfx:</w:t>
      </w:r>
    </w:p>
    <w:p>
      <w:pPr>
        <w:numPr>
          <w:ilvl w:val="0"/>
          <w:numId w:val="1011"/>
        </w:numPr>
        <w:pStyle w:val="Compact"/>
      </w:pPr>
      <w:r>
        <w:rPr>
          <w:bCs/>
          <w:b/>
        </w:rPr>
        <w:t xml:space="preserve">Use Phase (Scope 3, Category 11):</w:t>
      </w:r>
      <w:r>
        <w:t xml:space="preserve"> </w:t>
      </w:r>
      <w:r>
        <w:t xml:space="preserve">This stage accounts for approximately 72.6% of the total PCF, primarily due to the energy consumption over the product\'s 7-year illustrative lifespan. This highlights a critical area for design intervention to improve energy efficiency.</w:t>
      </w:r>
    </w:p>
    <w:p>
      <w:pPr>
        <w:numPr>
          <w:ilvl w:val="0"/>
          <w:numId w:val="1011"/>
        </w:numPr>
        <w:pStyle w:val="Compact"/>
      </w:pPr>
      <w:r>
        <w:rPr>
          <w:bCs/>
          <w:b/>
        </w:rPr>
        <w:t xml:space="preserve">Purchased Goods &amp; Services (Scope 3, Category 1):</w:t>
      </w:r>
      <w:r>
        <w:t xml:space="preserve"> </w:t>
      </w:r>
      <w:r>
        <w:t xml:space="preserve">Material acquisition and processing contribute about 19.7% of the footprint. Optimizing material choices, sourcing lower-carbon alternatives, or increasing recycled content can significantly reduce this impact.</w:t>
      </w:r>
    </w:p>
    <w:p>
      <w:pPr>
        <w:numPr>
          <w:ilvl w:val="0"/>
          <w:numId w:val="1011"/>
        </w:numPr>
        <w:pStyle w:val="Compact"/>
      </w:pPr>
      <w:r>
        <w:rPr>
          <w:bCs/>
          <w:b/>
        </w:rPr>
        <w:t xml:space="preserve">Production Phase (Scope 2):</w:t>
      </w:r>
      <w:r>
        <w:t xml:space="preserve"> </w:t>
      </w:r>
      <w:r>
        <w:t xml:space="preserve">Manufacturing electricity usage, even with 70% renewable energy, accounts for 7.0%. Further increasing renewable energy sourcing or improving process efficiency can reduce these emissions.</w:t>
      </w:r>
    </w:p>
    <w:bookmarkEnd w:id="36"/>
    <w:bookmarkStart w:id="37" w:name="reliability-and-limitations"/>
    <w:p>
      <w:pPr>
        <w:pStyle w:val="Heading3"/>
      </w:pPr>
      <w:r>
        <w:t xml:space="preserve">4.2. Reliability and Limitations</w:t>
      </w:r>
    </w:p>
    <w:p>
      <w:pPr>
        <w:pStyle w:val="FirstParagraph"/>
      </w:pPr>
      <w:r>
        <w:t xml:space="preserve">The reliability of this PCF analysis is directly dependent on the accuracy and completeness of the input data. As this report utilizes illustrative data for several parameters (e.g., BOM specifics, transport distances, energy consumption, emission factors) where actual numerical inputs were not provided, the calculated results are indicative rather than definitive. For a verified PCF, primary, site-specific data and independently validated emission factors (e.g., from Ecoinvent, DEFRA) would be required.</w:t>
      </w:r>
    </w:p>
    <w:bookmarkEnd w:id="37"/>
    <w:bookmarkStart w:id="38" w:name="recommendations-for-oteqdidoqx"/>
    <w:p>
      <w:pPr>
        <w:pStyle w:val="Heading3"/>
      </w:pPr>
      <w:r>
        <w:t xml:space="preserve">4.3. Recommendations for oteqdidoqx</w:t>
      </w:r>
    </w:p>
    <w:p>
      <w:pPr>
        <w:numPr>
          <w:ilvl w:val="0"/>
          <w:numId w:val="1012"/>
        </w:numPr>
        <w:pStyle w:val="Compact"/>
      </w:pPr>
      <w:r>
        <w:rPr>
          <w:bCs/>
          <w:b/>
        </w:rPr>
        <w:t xml:space="preserve">Optimize Use Phase:</w:t>
      </w:r>
      <w:r>
        <w:t xml:space="preserve"> </w:t>
      </w:r>
      <w:r>
        <w:t xml:space="preserve">Invest in product design for enhanced energy efficiency during operation. Explore lower-power components, sleep modes, or alternative energy sources for the user.</w:t>
      </w:r>
    </w:p>
    <w:p>
      <w:pPr>
        <w:numPr>
          <w:ilvl w:val="0"/>
          <w:numId w:val="1012"/>
        </w:numPr>
        <w:pStyle w:val="Compact"/>
      </w:pPr>
      <w:r>
        <w:rPr>
          <w:bCs/>
          <w:b/>
        </w:rPr>
        <w:t xml:space="preserve">Supply Chain Engagement:</w:t>
      </w:r>
      <w:r>
        <w:t xml:space="preserve"> </w:t>
      </w:r>
      <w:r>
        <w:t xml:space="preserve">Work with suppliers to understand and reduce the embodied carbon of materials and components. Prioritize suppliers with transparent data and robust sustainability initiatives.</w:t>
      </w:r>
    </w:p>
    <w:p>
      <w:pPr>
        <w:numPr>
          <w:ilvl w:val="0"/>
          <w:numId w:val="1012"/>
        </w:numPr>
        <w:pStyle w:val="Compact"/>
      </w:pPr>
      <w:r>
        <w:rPr>
          <w:bCs/>
          <w:b/>
        </w:rPr>
        <w:t xml:space="preserve">Increase Renewable Energy:</w:t>
      </w:r>
      <w:r>
        <w:t xml:space="preserve"> </w:t>
      </w:r>
      <w:r>
        <w:t xml:space="preserve">Further increase the share of renewable energy used in manufacturing operations beyond the current 70% to significantly reduce Scope 2 emissions.</w:t>
      </w:r>
    </w:p>
    <w:p>
      <w:pPr>
        <w:numPr>
          <w:ilvl w:val="0"/>
          <w:numId w:val="1012"/>
        </w:numPr>
        <w:pStyle w:val="Compact"/>
      </w:pPr>
      <w:r>
        <w:rPr>
          <w:bCs/>
          <w:b/>
        </w:rPr>
        <w:t xml:space="preserve">Enhance Circularity:</w:t>
      </w:r>
      <w:r>
        <w:t xml:space="preserve"> </w:t>
      </w:r>
      <w:r>
        <w:t xml:space="preserve">Continue to strengthen circular economy initiatives and take-back programs (e.g., `qgkrphhonp`) and explore design for disassembly and repair to maximize the impact of the 90% recyclability target.</w:t>
      </w:r>
    </w:p>
    <w:p>
      <w:pPr>
        <w:numPr>
          <w:ilvl w:val="0"/>
          <w:numId w:val="1012"/>
        </w:numPr>
        <w:pStyle w:val="Compact"/>
      </w:pPr>
      <w:r>
        <w:rPr>
          <w:bCs/>
          <w:b/>
        </w:rPr>
        <w:t xml:space="preserve">Data Improvement:</w:t>
      </w:r>
      <w:r>
        <w:t xml:space="preserve"> </w:t>
      </w:r>
      <w:r>
        <w:t xml:space="preserve">Systematically collect primary data for all stages of the product lifecycle, especially for Scope 3 categories, to ensure full compliance with the 95% coverage requirement and enhance the accuracy and auditable nature of future PCF reports.</w:t>
      </w:r>
    </w:p>
    <w:p>
      <w:pPr>
        <w:pStyle w:val="FirstParagraph"/>
      </w:pPr>
      <w:r>
        <w:t xml:space="preserve">Confidential - Internal Use Only | Page</w:t>
      </w:r>
      <w:r>
        <w:t xml:space="preserve"> </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pkhddysrfx</dc:title>
  <dc:creator/>
  <dc:description>High-detail Product Carbon Footprint (PCF) analysis for pkhddysrfx, following GHG Protocol standards and 2026 updates.</dc:description>
  <dc:language>en</dc:language>
  <cp:keywords/>
  <dcterms:created xsi:type="dcterms:W3CDTF">2026-07-15T02:40:43Z</dcterms:created>
  <dcterms:modified xsi:type="dcterms:W3CDTF">2026-07-15T02:40:43Z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