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pjtrjeeefd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pjtrjeeefd</w:t>
      </w:r>
    </w:p>
    <w:p>
      <w:pPr>
        <w:pStyle w:val="BodyText"/>
      </w:pPr>
      <w:r>
        <w:rPr>
          <w:bCs/>
          <w:b/>
        </w:rPr>
        <w:t xml:space="preserve">Company:</w:t>
      </w:r>
      <w:r>
        <w:t xml:space="preserve"> </w:t>
      </w:r>
      <w:r>
        <w:t xml:space="preserve">izufntvzmw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ytzmjssxui</w:t>
      </w:r>
    </w:p>
    <w:p>
      <w:pPr>
        <w:pStyle w:val="BodyText"/>
      </w:pPr>
      <w:r>
        <w:t xml:space="preserve">Disclaimer: This report is generated based on available data and industry standards. While efforts have been made to ensure accuracy, the actual environmental impact may vary based on real-world conditions and further granular data.</w:t>
      </w:r>
    </w:p>
    <w:bookmarkEnd w:id="20"/>
    <w:bookmarkStart w:id="21" w:name="Xf820156a51cbd7323b620e939c4496bb1f69e5b"/>
    <w:p>
      <w:pPr>
        <w:pStyle w:val="Heading1"/>
      </w:pPr>
      <w:r>
        <w:t xml:space="preserve">Product Carbon Footprint Analysis for pjtrjeeefd</w:t>
      </w:r>
    </w:p>
    <w:p>
      <w:pPr>
        <w:pStyle w:val="FirstParagraph"/>
      </w:pPr>
      <w:r>
        <w:t xml:space="preserve">Generated Date: May 23, 2026</w:t>
      </w:r>
    </w:p>
    <w:p>
      <w:pPr>
        <w:pStyle w:val="BodyText"/>
      </w:pPr>
      <w:r>
        <w:t xml:space="preserve">Prepared by: ytzmjssxui, Senior Sustainability Consultant</w:t>
      </w:r>
    </w:p>
    <w:p>
      <w:pPr>
        <w:pStyle w:val="BodyText"/>
      </w:pPr>
      <w:r>
        <w:t xml:space="preserve">Company: izufntvzmw</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"pjtrjeeefd," manufactured by "izufntvzmw." The analysis was conducted by Senior Sustainability Consultant ytzmjssxui, adhering strictly to the Greenhouse Gas (GHG) Protocol standards, including considerations for the upcoming 2026 Land Sector and Removals (LSR) Standard update. The primary objective is to quantify the greenhouse gas emissions across the product\'s lifecycle, identify key emission hotspots, and provide a foundation for targeted reduction strategies. The study utilizes a factory-gate system boundary with a supply chain focus on Europe and final production in China, providing a comprehensive view of the product\'s environmental impact from raw material acquisition to the end of its life, based on the provided parameters.</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The Product Carbon Footprint (PCF) analysis for pjtrjeeefd follows the five-step methodology prescribed by leading industry standards, ensuring a robust and transparent assessment of greenhouse gas (GHG) emissions across the product\'s lifecycle. This methodology aligns with the GHG Protocol, categorizing emissions into Scope 1, Scope 2, and Scope 3.</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pjtrjeeefd.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(cradle) up to the point where the finished product leaves the manufacturing facility (factory gate). While the primary system boundary is \'factory_gate\', the analysis extends to cover downstream activities like distribution, use, and end-of-life to provide a holistic PCF, particularly for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globalized nature of modern supply chains and the importance of region-specific emission factors.</w:t>
      </w:r>
    </w:p>
    <w:p>
      <w:pPr>
        <w:numPr>
          <w:ilvl w:val="0"/>
          <w:numId w:val="1001"/>
        </w:numPr>
        <w:pStyle w:val="Compact"/>
      </w:pPr>
      <w:r>
        <w:rPr>
          <w:bCs/>
          <w:b/>
        </w:rPr>
        <w:t xml:space="preserve">Allocation:</w:t>
      </w:r>
      <w:r>
        <w:t xml:space="preserve"> </w:t>
      </w:r>
      <w:r>
        <w:t xml:space="preserve">Emissions are allocated directly to the functional unit (1.0 unit of pjtrjeeefd) based on activity data and associated emission factors.</w:t>
      </w:r>
    </w:p>
    <w:bookmarkEnd w:id="23"/>
    <w:bookmarkStart w:id="24" w:name="map-lifecycle-lci-inventory-stages"/>
    <w:p>
      <w:pPr>
        <w:pStyle w:val="Heading3"/>
      </w:pPr>
      <w:r>
        <w:t xml:space="preserve">2.2. Map Lifecycle (LCI Inventory Stages)</w:t>
      </w:r>
    </w:p>
    <w:p>
      <w:pPr>
        <w:pStyle w:val="FirstParagraph"/>
      </w:pPr>
      <w:r>
        <w:t xml:space="preserve">The lifecycle of pjtrjeeefd is mapped across several key stages to capture all relevant emissions:</w:t>
      </w:r>
    </w:p>
    <w:p>
      <w:pPr>
        <w:numPr>
          <w:ilvl w:val="0"/>
          <w:numId w:val="1002"/>
        </w:numPr>
        <w:pStyle w:val="Compact"/>
      </w:pPr>
      <w:r>
        <w:rPr>
          <w:bCs/>
          <w:b/>
        </w:rPr>
        <w:t xml:space="preserve">Raw Material Acquisition &amp; Pre-processing (Upstream - Scope 3, Category 1):</w:t>
      </w:r>
      <w:r>
        <w:t xml:space="preserve"> </w:t>
      </w:r>
      <w:r>
        <w:t xml:space="preserve">This stage includes the extraction, processing, and manufacturing of all components and materials listed in the Detailed Bill of Materials (BOM).</w:t>
      </w:r>
    </w:p>
    <w:p>
      <w:pPr>
        <w:numPr>
          <w:ilvl w:val="0"/>
          <w:numId w:val="1002"/>
        </w:numPr>
        <w:pStyle w:val="Compact"/>
      </w:pPr>
      <w:r>
        <w:rPr>
          <w:bCs/>
          <w:b/>
        </w:rPr>
        <w:t xml:space="preserve">Manufacturing/Production (Core Operations - Scope 1 &amp; 2):</w:t>
      </w:r>
      <w:r>
        <w:t xml:space="preserve"> </w:t>
      </w:r>
      <w:r>
        <w:t xml:space="preserve">Emissions from the assembly and production processes at the izufntvzmw facility in China, including direct emissions (Scope 1) and purchased electricity emissions (Scope 2).</w:t>
      </w:r>
    </w:p>
    <w:p>
      <w:pPr>
        <w:numPr>
          <w:ilvl w:val="0"/>
          <w:numId w:val="1002"/>
        </w:numPr>
        <w:pStyle w:val="Compact"/>
      </w:pPr>
      <w:r>
        <w:rPr>
          <w:bCs/>
          <w:b/>
        </w:rPr>
        <w:t xml:space="preserve">Transportation &amp; Distribution (Upstream &amp; Downstream - Scope 3, Category 4 &amp; 9):</w:t>
      </w:r>
      <w:r>
        <w:t xml:space="preserve"> </w:t>
      </w:r>
      <w:r>
        <w:t xml:space="preserve">Includes transport of raw materials to the factory, and distribution of the finished product to the customer.</w:t>
      </w:r>
    </w:p>
    <w:p>
      <w:pPr>
        <w:numPr>
          <w:ilvl w:val="0"/>
          <w:numId w:val="1002"/>
        </w:numPr>
        <w:pStyle w:val="Compact"/>
      </w:pPr>
      <w:r>
        <w:rPr>
          <w:bCs/>
          <w:b/>
        </w:rPr>
        <w:t xml:space="preserve">Use Phase (Downstream - Scope 3, Category 11):</w:t>
      </w:r>
      <w:r>
        <w:t xml:space="preserve"> </w:t>
      </w:r>
      <w:r>
        <w:t xml:space="preserve">Emissions associated with the product\'s energy consumption during its lifespan by the end-user.</w:t>
      </w:r>
    </w:p>
    <w:p>
      <w:pPr>
        <w:numPr>
          <w:ilvl w:val="0"/>
          <w:numId w:val="1002"/>
        </w:numPr>
        <w:pStyle w:val="Compact"/>
      </w:pPr>
      <w:r>
        <w:rPr>
          <w:bCs/>
          <w:b/>
        </w:rPr>
        <w:t xml:space="preserve">End-of-Life (Downstream - Scope 3, Category 12):</w:t>
      </w:r>
      <w:r>
        <w:t xml:space="preserve"> </w:t>
      </w:r>
      <w:r>
        <w:t xml:space="preserve">Emissions or avoided emissions from disposal, recycling, or circular economy programs for the product at the end of its useful life.</w:t>
      </w:r>
    </w:p>
    <w:bookmarkEnd w:id="24"/>
    <w:bookmarkStart w:id="25" w:name="adherence-to-ghg-protocol-scopes"/>
    <w:p>
      <w:pPr>
        <w:pStyle w:val="Heading3"/>
      </w:pPr>
      <w:r>
        <w:t xml:space="preserve">2.2.1. Adherence to GHG Protocol Scopes</w:t>
      </w:r>
    </w:p>
    <w:p>
      <w:pPr>
        <w:numPr>
          <w:ilvl w:val="0"/>
          <w:numId w:val="1003"/>
        </w:numPr>
        <w:pStyle w:val="Compact"/>
      </w:pPr>
      <w:r>
        <w:rPr>
          <w:bCs/>
          <w:b/>
        </w:rPr>
        <w:t xml:space="preserve">Scope 1 Emissions (Direct Emissions):</w:t>
      </w:r>
      <w:r>
        <w:t xml:space="preserve"> </w:t>
      </w:r>
      <w:r>
        <w:t xml:space="preserve">These are direct greenhouse gas emissions from sources owned or controlled by izufntvzmw. For a \'factory_gate\' boundary, this primarily includes on-site fuel combustion for manufacturing processes and any fugitive emissions.</w:t>
      </w:r>
    </w:p>
    <w:p>
      <w:pPr>
        <w:numPr>
          <w:ilvl w:val="0"/>
          <w:numId w:val="1003"/>
        </w:numPr>
        <w:pStyle w:val="Compact"/>
      </w:pPr>
      <w:r>
        <w:rPr>
          <w:bCs/>
          <w:b/>
        </w:rPr>
        <w:t xml:space="preserve">Scope 2 Emissions (Indirect Emissions from Purchased Energy):</w:t>
      </w:r>
      <w:r>
        <w:t xml:space="preserve"> </w:t>
      </w:r>
      <w:r>
        <w:t xml:space="preserve">These are indirect GHG emissions from the generation of purchased electricity, steam, heat, or cooling consumed by izufntvzmw\'s facilities.</w:t>
      </w:r>
    </w:p>
    <w:p>
      <w:pPr>
        <w:numPr>
          <w:ilvl w:val="0"/>
          <w:numId w:val="1003"/>
        </w:numPr>
        <w:pStyle w:val="Compact"/>
      </w:pPr>
      <w:r>
        <w:rPr>
          <w:bCs/>
          <w:b/>
        </w:rPr>
        <w:t xml:space="preserve">Scope 3 Emissions (Other Indirect Emissions / Value Chain Emissions):</w:t>
      </w:r>
      <w:r>
        <w:t xml:space="preserve"> </w:t>
      </w:r>
      <w:r>
        <w:t xml:space="preserve">These encompass all other indirect emissions that occur in the value chain of izufntvzmw, both upstream and downstream. This includes emissions from purchased goods and services (materials), capital goods, fuel- and energy-related activities not included in Scope 1 or 2, upstream and downstream transportation and distribution, waste generated in operations, use of sold products, and end-of-life treatment of sold products. This report aims for at least 95% coverage for Scope 3 reporting as per 2026 requirements.</w:t>
      </w:r>
    </w:p>
    <w:bookmarkEnd w:id="25"/>
    <w:bookmarkStart w:id="26" w:name="X504f4a86e01fdcfa46a4589bb1b5e0cfaad8629"/>
    <w:p>
      <w:pPr>
        <w:pStyle w:val="Heading3"/>
      </w:pPr>
      <w:r>
        <w:t xml:space="preserve">2.2.2. 2026 Land Sector and Removals (LSR) Standard Update</w:t>
      </w:r>
    </w:p>
    <w:p>
      <w:pPr>
        <w:pStyle w:val="FirstParagraph"/>
      </w:pPr>
      <w:r>
        <w:t xml:space="preserve">The GHG Protocol\'s new Land Sector and Removals (LSR) Standard, effective January 1, 2027, provides crucial requirements for accounting for land sector emissions (such as land use change, land management, and biogenic products) and CO2 removals, including technological CO2 removals. While specific land use data for pjtrjeeefd\'s material sourcing is not provided in detail for this analysis, izufntvzmw acknowledges this upcoming standard. Future analyses will incorporate detailed assessments of direct and indirect land use change emissions, land management impacts, and potential carbon removals across the value chain, particularly for agricultural or bio-based materials, to ensure full compliance and identify opportunities for nature-based solutions.</w:t>
      </w:r>
    </w:p>
    <w:bookmarkEnd w:id="26"/>
    <w:bookmarkStart w:id="27" w:name="Xb57f50a89bf1f3f1837369be949d9d60d6c1272"/>
    <w:p>
      <w:pPr>
        <w:pStyle w:val="Heading3"/>
      </w:pPr>
      <w:r>
        <w:t xml:space="preserve">2.3. Collect Data (Primary/Secondary Data Points)</w:t>
      </w:r>
    </w:p>
    <w:p>
      <w:pPr>
        <w:pStyle w:val="FirstParagraph"/>
      </w:pPr>
      <w:r>
        <w:t xml:space="preserve">Data collection involves combining primary data provided by izufntvzmw with secondary data from reputable life cycle inventory (LCI) databases. For this analysis, the following specific data points were used:</w:t>
      </w:r>
    </w:p>
    <w:p>
      <w:pPr>
        <w:numPr>
          <w:ilvl w:val="0"/>
          <w:numId w:val="1004"/>
        </w:numPr>
        <w:pStyle w:val="Compact"/>
      </w:pPr>
      <w:r>
        <w:rPr>
          <w:bCs/>
          <w:b/>
        </w:rPr>
        <w:t xml:space="preserve">Detailed Bill of Materials (BOM):</w:t>
      </w:r>
      <w:r>
        <w:t xml:space="preserve"> </w:t>
      </w:r>
      <w:r>
        <w:t xml:space="preserve">The provided BOM (vpsznijd) was used to calculate material impacts with high accuracy. The BOM data is illustrative for this report and demonstrates the calculation methodology.</w:t>
      </w:r>
    </w:p>
    <w:p>
      <w:pPr>
        <w:numPr>
          <w:ilvl w:val="0"/>
          <w:numId w:val="1004"/>
        </w:numPr>
        <w:pStyle w:val="Compact"/>
      </w:pPr>
      <w:r>
        <w:rPr>
          <w:bCs/>
          <w:b/>
        </w:rPr>
        <w:t xml:space="preserve">Production Energy:</w:t>
      </w:r>
      <w:r>
        <w:t xml:space="preserve"> </w:t>
      </w:r>
      <w:r>
        <w:t xml:space="preserve">Renewable Energy Usage (xvelvhmmyz) and Energy Intensity (joxkogqtps) for the manufacturing phase.</w:t>
      </w:r>
    </w:p>
    <w:p>
      <w:pPr>
        <w:numPr>
          <w:ilvl w:val="0"/>
          <w:numId w:val="1004"/>
        </w:numPr>
        <w:pStyle w:val="Compact"/>
      </w:pPr>
      <w:r>
        <w:rPr>
          <w:bCs/>
          <w:b/>
        </w:rPr>
        <w:t xml:space="preserve">Logistics:</w:t>
      </w:r>
      <w:r>
        <w:t xml:space="preserve"> </w:t>
      </w:r>
      <w:r>
        <w:t xml:space="preserve">Transport Mode (Select Mode), Transport Distance (uvxdfudgin), and Last-Mile Delivery Channel (Delivery Type) for supply chain analysis.</w:t>
      </w:r>
    </w:p>
    <w:p>
      <w:pPr>
        <w:numPr>
          <w:ilvl w:val="0"/>
          <w:numId w:val="1004"/>
        </w:numPr>
        <w:pStyle w:val="Compact"/>
      </w:pPr>
      <w:r>
        <w:rPr>
          <w:bCs/>
          <w:b/>
        </w:rPr>
        <w:t xml:space="preserve">Use Phase:</w:t>
      </w:r>
      <w:r>
        <w:t xml:space="preserve"> </w:t>
      </w:r>
      <w:r>
        <w:t xml:space="preserve">Product Lifespan (ouuwsunrqr) and Energy Consumption in Use (kwjxlysixo).</w:t>
      </w:r>
    </w:p>
    <w:p>
      <w:pPr>
        <w:numPr>
          <w:ilvl w:val="0"/>
          <w:numId w:val="1004"/>
        </w:numPr>
        <w:pStyle w:val="Compact"/>
      </w:pPr>
      <w:r>
        <w:rPr>
          <w:bCs/>
          <w:b/>
        </w:rPr>
        <w:t xml:space="preserve">End-of-Life:</w:t>
      </w:r>
      <w:r>
        <w:t xml:space="preserve"> </w:t>
      </w:r>
      <w:r>
        <w:t xml:space="preserve">Recyclability Percentage (ktuxgxowwz) and existence of Circular/Take-back Programs (kmzumpxmvs).</w:t>
      </w:r>
    </w:p>
    <w:p>
      <w:pPr>
        <w:numPr>
          <w:ilvl w:val="0"/>
          <w:numId w:val="1004"/>
        </w:numPr>
        <w:pStyle w:val="Compact"/>
      </w:pPr>
      <w:r>
        <w:rPr>
          <w:bCs/>
          <w:b/>
        </w:rPr>
        <w:t xml:space="preserve">Emission Factors:</w:t>
      </w:r>
      <w:r>
        <w:t xml:space="preserve"> </w:t>
      </w:r>
      <w:r>
        <w:t xml:space="preserve">Industry-standard emission factors from sources such as Ecoinvent and DEFRA have been utilized. For this report, illustrative emission factors based on commonly accepted values from these databases are used due to the lack of access to specific database versions.</w:t>
      </w:r>
    </w:p>
    <w:bookmarkEnd w:id="27"/>
    <w:bookmarkStart w:id="28" w:name="X21da82644fa8fd81dd03ae15e377dd6d8909c13"/>
    <w:p>
      <w:pPr>
        <w:pStyle w:val="Heading3"/>
      </w:pPr>
      <w:r>
        <w:t xml:space="preserve">2.3.1. Detailed Breakdown of Materials and Energy Inputs (Illustrative Data)</w:t>
      </w:r>
    </w:p>
    <w:p>
      <w:pPr>
        <w:pStyle w:val="FirstParagraph"/>
      </w:pPr>
      <w:r>
        <w:t xml:space="preserve">The following table presents the illustrative Detailed Bill of Materials (BOM) for pjtrjeeefd and their corresponding carbon impacts. These values represent the upstream (Scope 3, Category 1) emissions associated with the production of these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left"/>
            </w:pPr>
            <w:r>
              <w:rPr>
                <w:bCs/>
                <w:b/>
              </w:rPr>
              <w:t xml:space="preserve">Total Material Carbon Footprint (Illustrative)</w:t>
            </w:r>
          </w:p>
        </w:tc>
        <w:tc>
          <w:tcPr/>
          <w:p>
            <w:pPr>
              <w:pStyle w:val="Compact"/>
              <w:jc w:val="left"/>
            </w:pPr>
            <w:r>
              <w:rPr>
                <w:bCs/>
                <w:b/>
              </w:rPr>
              <w:t xml:space="preserve">5.95</w:t>
            </w:r>
          </w:p>
        </w:tc>
      </w:tr>
    </w:tbl>
    <w:p>
      <w:pPr>
        <w:pStyle w:val="BodyText"/>
      </w:pPr>
      <w:r>
        <w:rPr>
          <w:bCs/>
          <w:b/>
        </w:rPr>
        <w:t xml:space="preserve">Energy Inputs (Manufacturing Phase - China):</w:t>
      </w:r>
    </w:p>
    <w:p>
      <w:pPr>
        <w:numPr>
          <w:ilvl w:val="0"/>
          <w:numId w:val="1005"/>
        </w:numPr>
        <w:pStyle w:val="Compact"/>
      </w:pPr>
      <w:r>
        <w:t xml:space="preserve">Renewable Energy Usage: 60% (xvelvhmmyz)</w:t>
      </w:r>
    </w:p>
    <w:p>
      <w:pPr>
        <w:numPr>
          <w:ilvl w:val="0"/>
          <w:numId w:val="1005"/>
        </w:numPr>
        <w:pStyle w:val="Compact"/>
      </w:pPr>
      <w:r>
        <w:t xml:space="preserve">Energy Intensity: 20 kWh/unit (joxkogqtps)</w:t>
      </w:r>
    </w:p>
    <w:p>
      <w:pPr>
        <w:numPr>
          <w:ilvl w:val="0"/>
          <w:numId w:val="1005"/>
        </w:numPr>
        <w:pStyle w:val="Compact"/>
      </w:pPr>
      <w:r>
        <w:t xml:space="preserve">Assumed China Grid Electricity Emission Factor (non-renewable): 0.65 kg CO2e/kWh (Illustrative, based on recent data indicating ranges from 0.6205 to ~1.0 kgCO2e/kWh for China\'s grid.)</w:t>
      </w:r>
    </w:p>
    <w:p>
      <w:pPr>
        <w:pStyle w:val="FirstParagraph"/>
      </w:pPr>
      <w:r>
        <w:rPr>
          <w:bCs/>
          <w:b/>
        </w:rPr>
        <w:t xml:space="preserve">Logistics Data (Illustrative):</w:t>
      </w:r>
    </w:p>
    <w:p>
      <w:pPr>
        <w:numPr>
          <w:ilvl w:val="0"/>
          <w:numId w:val="1006"/>
        </w:numPr>
        <w:pStyle w:val="Compact"/>
      </w:pPr>
      <w:r>
        <w:t xml:space="preserve">Primary Transport Mode: Road Freight (HGV) (Select Mode)</w:t>
      </w:r>
    </w:p>
    <w:p>
      <w:pPr>
        <w:numPr>
          <w:ilvl w:val="0"/>
          <w:numId w:val="1006"/>
        </w:numPr>
        <w:pStyle w:val="Compact"/>
      </w:pPr>
      <w:r>
        <w:t xml:space="preserve">Primary Transport Distance: 1500 km (uvxdfudgin)</w:t>
      </w:r>
    </w:p>
    <w:p>
      <w:pPr>
        <w:numPr>
          <w:ilvl w:val="0"/>
          <w:numId w:val="1006"/>
        </w:numPr>
        <w:pStyle w:val="Compact"/>
      </w:pPr>
      <w:r>
        <w:t xml:space="preserve">Last-Mile Delivery Channel: Local Van Delivery (Delivery Type)</w:t>
      </w:r>
    </w:p>
    <w:p>
      <w:pPr>
        <w:numPr>
          <w:ilvl w:val="0"/>
          <w:numId w:val="1006"/>
        </w:numPr>
        <w:pStyle w:val="Compact"/>
      </w:pPr>
      <w:r>
        <w:t xml:space="preserve">Assumed Emission Factor for Road Freight (HGV): 0.09 kg CO2e/tonne-km (Illustrative, based on GLEC and other industry averages for Europe.)</w:t>
      </w:r>
    </w:p>
    <w:p>
      <w:pPr>
        <w:numPr>
          <w:ilvl w:val="0"/>
          <w:numId w:val="1006"/>
        </w:numPr>
        <w:pStyle w:val="Compact"/>
      </w:pPr>
      <w:r>
        <w:t xml:space="preserve">Assumed Emission Factor for Local Van Delivery: 0.25 kg CO2e/km (Illustrative, based on DEFRA/BEIS data for vans.)</w:t>
      </w:r>
    </w:p>
    <w:p>
      <w:pPr>
        <w:numPr>
          <w:ilvl w:val="0"/>
          <w:numId w:val="1006"/>
        </w:numPr>
        <w:pStyle w:val="Compact"/>
      </w:pPr>
      <w:r>
        <w:t xml:space="preserve">Assumed Product Weight (for transport calculation): 1.0 kg/unit (derived from BOM total, for simplicity in transport calculation)</w:t>
      </w:r>
    </w:p>
    <w:p>
      <w:pPr>
        <w:pStyle w:val="FirstParagraph"/>
      </w:pPr>
      <w:r>
        <w:rPr>
          <w:bCs/>
          <w:b/>
        </w:rPr>
        <w:t xml:space="preserve">Use Phase Data:</w:t>
      </w:r>
    </w:p>
    <w:p>
      <w:pPr>
        <w:numPr>
          <w:ilvl w:val="0"/>
          <w:numId w:val="1007"/>
        </w:numPr>
        <w:pStyle w:val="Compact"/>
      </w:pPr>
      <w:r>
        <w:t xml:space="preserve">Product Lifespan: 7 years (ouuwsunrqr)</w:t>
      </w:r>
    </w:p>
    <w:p>
      <w:pPr>
        <w:numPr>
          <w:ilvl w:val="0"/>
          <w:numId w:val="1007"/>
        </w:numPr>
        <w:pStyle w:val="Compact"/>
      </w:pPr>
      <w:r>
        <w:t xml:space="preserve">Energy Consumption in Use: 50 kWh/year (kwjxlysixo)</w:t>
      </w:r>
    </w:p>
    <w:p>
      <w:pPr>
        <w:pStyle w:val="FirstParagraph"/>
      </w:pPr>
      <w:r>
        <w:rPr>
          <w:bCs/>
          <w:b/>
        </w:rPr>
        <w:t xml:space="preserve">End-of-Life Scenarios:</w:t>
      </w:r>
    </w:p>
    <w:p>
      <w:pPr>
        <w:numPr>
          <w:ilvl w:val="0"/>
          <w:numId w:val="1008"/>
        </w:numPr>
        <w:pStyle w:val="Compact"/>
      </w:pPr>
      <w:r>
        <w:t xml:space="preserve">Recyclability Percentage: 75% (ktuxgxowwz)</w:t>
      </w:r>
    </w:p>
    <w:p>
      <w:pPr>
        <w:numPr>
          <w:ilvl w:val="0"/>
          <w:numId w:val="1008"/>
        </w:numPr>
        <w:pStyle w:val="Compact"/>
      </w:pPr>
      <w:r>
        <w:t xml:space="preserve">Circular/Take-back Programs: Yes (kmzumpxmvs)</w:t>
      </w:r>
    </w:p>
    <w:p>
      <w:pPr>
        <w:numPr>
          <w:ilvl w:val="0"/>
          <w:numId w:val="1008"/>
        </w:numPr>
        <w:pStyle w:val="Compact"/>
      </w:pPr>
      <w:r>
        <w:t xml:space="preserve">Assumed Recycling Avoided Emissions Factor: -1.5 kg CO2e/kg (Illustrative, representing avoided virgin material production for mixed recyclables, referencing EPA WARM.)</w:t>
      </w:r>
    </w:p>
    <w:p>
      <w:pPr>
        <w:numPr>
          <w:ilvl w:val="0"/>
          <w:numId w:val="1008"/>
        </w:numPr>
        <w:pStyle w:val="Compact"/>
      </w:pPr>
      <w:r>
        <w:t xml:space="preserve">Assumed Disposal Emission Factor (for non-recycled portion, e.g., landfill): 0.033 kg CO2e/kg (Illustrative for plastic waste to landfill.)</w:t>
      </w:r>
    </w:p>
    <w:p>
      <w:r>
        <w:pict>
          <v:rect style="width:0;height:1.5pt" o:hralign="center" o:hrstd="t" o:hr="t"/>
        </w:pict>
      </w:r>
    </w:p>
    <w:bookmarkEnd w:id="28"/>
    <w:bookmarkEnd w:id="29"/>
    <w:bookmarkStart w:id="38"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using the activity data and respective emission factors. The results are categorized into GHG Protocol Scopes.</w:t>
      </w:r>
    </w:p>
    <w:bookmarkStart w:id="30" w:name="X45bb9cd134053e35af1dfcce7e2d044d3d17865"/>
    <w:p>
      <w:pPr>
        <w:pStyle w:val="Heading3"/>
      </w:pPr>
      <w:r>
        <w:t xml:space="preserve">3.1. Material Acquisition &amp; Pre-processing (Scope 3, Category 1 - Purchased Goods and Services)</w:t>
      </w:r>
    </w:p>
    <w:p>
      <w:pPr>
        <w:pStyle w:val="FirstParagraph"/>
      </w:pPr>
      <w:r>
        <w:t xml:space="preserve">Based on the provided (illustrative) Detailed Bill of Materials, the total emissions from raw material acquisition and pre-processing are:</w:t>
      </w:r>
    </w:p>
    <w:p>
      <w:pPr>
        <w:numPr>
          <w:ilvl w:val="0"/>
          <w:numId w:val="1009"/>
        </w:numPr>
        <w:pStyle w:val="Compact"/>
      </w:pPr>
      <w:r>
        <w:t xml:space="preserve">Total Material Carbon Footprint: 5.95 kg CO2e/unit</w:t>
      </w:r>
    </w:p>
    <w:p>
      <w:pPr>
        <w:pStyle w:val="FirstParagraph"/>
      </w:pPr>
      <w:r>
        <w:rPr>
          <w:iCs/>
          <w:i/>
        </w:rPr>
        <w:t xml:space="preserve">This calculation is a direct summation of the \'Total Carbon\' column from the illustrative BOM data, representing the embodied emissions of the materials.</w:t>
      </w:r>
    </w:p>
    <w:bookmarkEnd w:id="30"/>
    <w:bookmarkStart w:id="31" w:name="manufacturingproduction-scope-1-2"/>
    <w:p>
      <w:pPr>
        <w:pStyle w:val="Heading3"/>
      </w:pPr>
      <w:r>
        <w:t xml:space="preserve">3.2. Manufacturing/Production (Scope 1 &amp; 2)</w:t>
      </w:r>
    </w:p>
    <w:p>
      <w:pPr>
        <w:pStyle w:val="FirstParagraph"/>
      </w:pPr>
      <w:r>
        <w:t xml:space="preserve">Assuming the manufacturing facility itself has minimal direct (Scope 1) emissions, the primary focus here is on purchased electricity (Scope 2).</w:t>
      </w:r>
    </w:p>
    <w:p>
      <w:pPr>
        <w:numPr>
          <w:ilvl w:val="0"/>
          <w:numId w:val="1010"/>
        </w:numPr>
        <w:pStyle w:val="Compact"/>
      </w:pPr>
      <w:r>
        <w:t xml:space="preserve">Total Energy Consumption: 20 kWh/unit</w:t>
      </w:r>
    </w:p>
    <w:p>
      <w:pPr>
        <w:numPr>
          <w:ilvl w:val="0"/>
          <w:numId w:val="1010"/>
        </w:numPr>
        <w:pStyle w:val="Compact"/>
      </w:pPr>
      <w:r>
        <w:t xml:space="preserve">Renewable Energy Usage: 60%</w:t>
      </w:r>
    </w:p>
    <w:p>
      <w:pPr>
        <w:numPr>
          <w:ilvl w:val="0"/>
          <w:numId w:val="1010"/>
        </w:numPr>
        <w:pStyle w:val="Compact"/>
      </w:pPr>
      <w:r>
        <w:t xml:space="preserve">Non-renewable Energy Consumption: 20 kWh/unit * (1 - 0.60) = 8 kWh/unit</w:t>
      </w:r>
    </w:p>
    <w:p>
      <w:pPr>
        <w:numPr>
          <w:ilvl w:val="0"/>
          <w:numId w:val="1010"/>
        </w:numPr>
        <w:pStyle w:val="Compact"/>
      </w:pPr>
      <w:r>
        <w:t xml:space="preserve">Scope 2 Emissions: 8 kWh/unit * 0.65 kg CO2e/kWh (China grid mix) = 5.20 kg CO2e/unit</w:t>
      </w:r>
    </w:p>
    <w:p>
      <w:pPr>
        <w:pStyle w:val="FirstParagraph"/>
      </w:pPr>
      <w:r>
        <w:rPr>
          <w:iCs/>
          <w:i/>
        </w:rPr>
        <w:t xml:space="preserve">Note: If izufntvzmw has direct combustion sources (e.g., natural gas for heating) on-site, those emissions would be calculated as Scope 1. For this report, Scope 1 is assumed negligible at the factory gate boundary based on provided parameters focusing on energy intensity.</w:t>
      </w:r>
    </w:p>
    <w:bookmarkEnd w:id="31"/>
    <w:bookmarkStart w:id="34" w:name="X3c8f32f663e0c060affc5b9e37ad8e5639b4738"/>
    <w:p>
      <w:pPr>
        <w:pStyle w:val="Heading3"/>
      </w:pPr>
      <w:r>
        <w:t xml:space="preserve">3.3. Transportation &amp; Distribution (Scope 3, Category 4 - Upstream, &amp; Category 9 - Downstream)</w:t>
      </w:r>
    </w:p>
    <w:p>
      <w:pPr>
        <w:pStyle w:val="FirstParagraph"/>
      </w:pPr>
      <w:r>
        <w:t xml:space="preserve">Assuming the illustrative product weight of 1.0 kg/unit for transportation calculations.</w:t>
      </w:r>
    </w:p>
    <w:bookmarkStart w:id="32" w:name="X5b45005b4c7dc44e001fbc338afc0fa1c5d6c88"/>
    <w:p>
      <w:pPr>
        <w:pStyle w:val="Heading4"/>
      </w:pPr>
      <w:r>
        <w:t xml:space="preserve">3.3.1. Upstream Transportation (Raw Materials to Factory)</w:t>
      </w:r>
    </w:p>
    <w:p>
      <w:pPr>
        <w:pStyle w:val="FirstParagraph"/>
      </w:pPr>
      <w:r>
        <w:t xml:space="preserve">For simplicity, assuming the BOM materials are transported together over a distance comparable to the product distribution distance (Europe focused supply chain to China production).</w:t>
      </w:r>
    </w:p>
    <w:p>
      <w:pPr>
        <w:numPr>
          <w:ilvl w:val="0"/>
          <w:numId w:val="1011"/>
        </w:numPr>
        <w:pStyle w:val="Compact"/>
      </w:pPr>
      <w:r>
        <w:t xml:space="preserve">Total weight of materials (from BOM): 0.5 + 0.3 + 0.1 + 0.05 = 0.95 kg (approx 1.0 kg per unit)</w:t>
      </w:r>
    </w:p>
    <w:p>
      <w:pPr>
        <w:numPr>
          <w:ilvl w:val="0"/>
          <w:numId w:val="1011"/>
        </w:numPr>
        <w:pStyle w:val="Compact"/>
      </w:pPr>
      <w:r>
        <w:t xml:space="preserve">Transport Distance: 1500 km (uvxdfudgin)</w:t>
      </w:r>
    </w:p>
    <w:p>
      <w:pPr>
        <w:numPr>
          <w:ilvl w:val="0"/>
          <w:numId w:val="1011"/>
        </w:numPr>
        <w:pStyle w:val="Compact"/>
      </w:pPr>
      <w:r>
        <w:t xml:space="preserve">Transport Mode: Road Freight (HGV) (Select Mode)</w:t>
      </w:r>
    </w:p>
    <w:p>
      <w:pPr>
        <w:numPr>
          <w:ilvl w:val="0"/>
          <w:numId w:val="1011"/>
        </w:numPr>
        <w:pStyle w:val="Compact"/>
      </w:pPr>
      <w:r>
        <w:t xml:space="preserve">Upstream Transport Emissions: 1.0 kg/unit * 1500 km * 0.09 kg CO2e/tonne-km / 1000 (kg to tonne conversion) = 0.135 kg CO2e/unit</w:t>
      </w:r>
    </w:p>
    <w:bookmarkEnd w:id="32"/>
    <w:bookmarkStart w:id="33" w:name="X068cfd5c43fb5bab7f106759a50ceb419cee4ea"/>
    <w:p>
      <w:pPr>
        <w:pStyle w:val="Heading4"/>
      </w:pPr>
      <w:r>
        <w:t xml:space="preserve">3.3.2. Downstream Transportation (Factory to Customer)</w:t>
      </w:r>
    </w:p>
    <w:p>
      <w:pPr>
        <w:numPr>
          <w:ilvl w:val="0"/>
          <w:numId w:val="1012"/>
        </w:numPr>
        <w:pStyle w:val="Compact"/>
      </w:pPr>
      <w:r>
        <w:t xml:space="preserve">Product Weight: 1.0 kg/unit (assumed for transport calculation)</w:t>
      </w:r>
    </w:p>
    <w:p>
      <w:pPr>
        <w:numPr>
          <w:ilvl w:val="0"/>
          <w:numId w:val="1012"/>
        </w:numPr>
        <w:pStyle w:val="Compact"/>
      </w:pPr>
      <w:r>
        <w:t xml:space="preserve">Primary Transport Distance: 1500 km (uvxdfudgin)</w:t>
      </w:r>
    </w:p>
    <w:p>
      <w:pPr>
        <w:numPr>
          <w:ilvl w:val="0"/>
          <w:numId w:val="1012"/>
        </w:numPr>
        <w:pStyle w:val="Compact"/>
      </w:pPr>
      <w:r>
        <w:t xml:space="preserve">Primary Transport Mode: Road Freight (HGV) (Select Mode)</w:t>
      </w:r>
    </w:p>
    <w:p>
      <w:pPr>
        <w:numPr>
          <w:ilvl w:val="0"/>
          <w:numId w:val="1012"/>
        </w:numPr>
        <w:pStyle w:val="Compact"/>
      </w:pPr>
      <w:r>
        <w:t xml:space="preserve">Primary Transport Emissions: 1.0 kg/unit * 1500 km * 0.09 kg CO2e/tonne-km / 1000 = 0.135 kg CO2e/unit</w:t>
      </w:r>
    </w:p>
    <w:p>
      <w:pPr>
        <w:numPr>
          <w:ilvl w:val="0"/>
          <w:numId w:val="1012"/>
        </w:numPr>
        <w:pStyle w:val="Compact"/>
      </w:pPr>
      <w:r>
        <w:t xml:space="preserve">Last-Mile Delivery Distance (Illustrative): Assuming an average last-mile distance of 50 km per unit delivered.</w:t>
      </w:r>
    </w:p>
    <w:p>
      <w:pPr>
        <w:numPr>
          <w:ilvl w:val="0"/>
          <w:numId w:val="1012"/>
        </w:numPr>
        <w:pStyle w:val="Compact"/>
      </w:pPr>
      <w:r>
        <w:t xml:space="preserve">Last-Mile Delivery Channel: Local Van Delivery (Delivery Type)</w:t>
      </w:r>
    </w:p>
    <w:p>
      <w:pPr>
        <w:numPr>
          <w:ilvl w:val="0"/>
          <w:numId w:val="1012"/>
        </w:numPr>
        <w:pStyle w:val="Compact"/>
      </w:pPr>
      <w:r>
        <w:t xml:space="preserve">Last-Mile Delivery Emissions: 50 km * 0.25 kg CO2e/km (van) = 12.50 kg CO2e/unit</w:t>
      </w:r>
    </w:p>
    <w:p>
      <w:pPr>
        <w:pStyle w:val="FirstParagraph"/>
      </w:pPr>
      <w:r>
        <w:rPr>
          <w:iCs/>
          <w:i/>
        </w:rPr>
        <w:t xml:space="preserve">Note on last-mile delivery: A per-unit allocation over 50 km for a single unit is a high estimate; actual impact depends on delivery route optimization and number of units per trip. This value highlights the potential impact of last-mile logistics.</w:t>
      </w:r>
    </w:p>
    <w:p>
      <w:pPr>
        <w:numPr>
          <w:ilvl w:val="0"/>
          <w:numId w:val="1013"/>
        </w:numPr>
        <w:pStyle w:val="Compact"/>
      </w:pPr>
      <w:r>
        <w:t xml:space="preserve">Total Transport &amp; Distribution Emissions: 0.135 (upstream) + 0.135 (primary downstream) + 12.50 (last-mile) = 12.77 kg CO2e/unit</w:t>
      </w:r>
    </w:p>
    <w:bookmarkEnd w:id="33"/>
    <w:bookmarkEnd w:id="34"/>
    <w:bookmarkStart w:id="35" w:name="Xe72837a908ad344b018b3447ff671a3dec19470"/>
    <w:p>
      <w:pPr>
        <w:pStyle w:val="Heading3"/>
      </w:pPr>
      <w:r>
        <w:t xml:space="preserve">3.4. Use Phase (Scope 3, Category 11 - Use of Sold Products)</w:t>
      </w:r>
    </w:p>
    <w:p>
      <w:pPr>
        <w:numPr>
          <w:ilvl w:val="0"/>
          <w:numId w:val="1014"/>
        </w:numPr>
        <w:pStyle w:val="Compact"/>
      </w:pPr>
      <w:r>
        <w:t xml:space="preserve">Product Lifespan: 7 years (ouuwsunrqr)</w:t>
      </w:r>
    </w:p>
    <w:p>
      <w:pPr>
        <w:numPr>
          <w:ilvl w:val="0"/>
          <w:numId w:val="1014"/>
        </w:numPr>
        <w:pStyle w:val="Compact"/>
      </w:pPr>
      <w:r>
        <w:t xml:space="preserve">Energy Consumption in Use: 50 kWh/year (kwjxlysixo)</w:t>
      </w:r>
    </w:p>
    <w:p>
      <w:pPr>
        <w:numPr>
          <w:ilvl w:val="0"/>
          <w:numId w:val="1014"/>
        </w:numPr>
        <w:pStyle w:val="Compact"/>
      </w:pPr>
      <w:r>
        <w:t xml:space="preserve">Total Energy Consumption over Lifespan: 50 kWh/year * 7 years = 350 kWh/unit</w:t>
      </w:r>
    </w:p>
    <w:p>
      <w:pPr>
        <w:numPr>
          <w:ilvl w:val="0"/>
          <w:numId w:val="1014"/>
        </w:numPr>
        <w:pStyle w:val="Compact"/>
      </w:pPr>
      <w:r>
        <w:t xml:space="preserve">Emissions from Use Phase: 350 kWh/unit * 0.288 kg CO2e/kWh (Illustrative average European grid mix, as supply chain is Europe focused.) = 100.80 kg CO2e/unit</w:t>
      </w:r>
    </w:p>
    <w:p>
      <w:pPr>
        <w:pStyle w:val="FirstParagraph"/>
      </w:pPr>
      <w:r>
        <w:rPr>
          <w:iCs/>
          <w:i/>
        </w:rPr>
        <w:t xml:space="preserve">Note: The European grid mix is used here, assuming the product is used in Europe, aligning with the "Supply Chain Focus: Europe Focused" parameter.</w:t>
      </w:r>
    </w:p>
    <w:bookmarkEnd w:id="35"/>
    <w:bookmarkStart w:id="36" w:name="X18c81bc1109c1a847ac842bd745cc472e3f99f0"/>
    <w:p>
      <w:pPr>
        <w:pStyle w:val="Heading3"/>
      </w:pPr>
      <w:r>
        <w:t xml:space="preserve">3.5. End-of-Life (EoL) (Scope 3, Category 12 - End-of-Life Treatment of Sold Products)</w:t>
      </w:r>
    </w:p>
    <w:p>
      <w:pPr>
        <w:pStyle w:val="FirstParagraph"/>
      </w:pPr>
      <w:r>
        <w:t xml:space="preserve">Considering the recyclability percentage and the existence of circular programs.</w:t>
      </w:r>
    </w:p>
    <w:p>
      <w:pPr>
        <w:numPr>
          <w:ilvl w:val="0"/>
          <w:numId w:val="1015"/>
        </w:numPr>
        <w:pStyle w:val="Compact"/>
      </w:pPr>
      <w:r>
        <w:t xml:space="preserve">Recyclability Percentage: 75% (ktuxgxowwz)</w:t>
      </w:r>
    </w:p>
    <w:p>
      <w:pPr>
        <w:numPr>
          <w:ilvl w:val="0"/>
          <w:numId w:val="1015"/>
        </w:numPr>
        <w:pStyle w:val="Compact"/>
      </w:pPr>
      <w:r>
        <w:t xml:space="preserve">Non-Recycled Portion: 1 - 0.75 = 0.25</w:t>
      </w:r>
    </w:p>
    <w:p>
      <w:pPr>
        <w:numPr>
          <w:ilvl w:val="0"/>
          <w:numId w:val="1015"/>
        </w:numPr>
        <w:pStyle w:val="Compact"/>
      </w:pPr>
      <w:r>
        <w:t xml:space="preserve">Product Weight: 1.0 kg/unit (assumed from BOM for simplicity in EoL)</w:t>
      </w:r>
    </w:p>
    <w:p>
      <w:pPr>
        <w:numPr>
          <w:ilvl w:val="0"/>
          <w:numId w:val="1015"/>
        </w:numPr>
        <w:pStyle w:val="Compact"/>
      </w:pPr>
      <w:r>
        <w:t xml:space="preserve">Recycled Material Weight: 1.0 kg * 0.75 = 0.75 kg</w:t>
      </w:r>
    </w:p>
    <w:p>
      <w:pPr>
        <w:numPr>
          <w:ilvl w:val="0"/>
          <w:numId w:val="1015"/>
        </w:numPr>
        <w:pStyle w:val="Compact"/>
      </w:pPr>
      <w:r>
        <w:t xml:space="preserve">Disposed Material Weight: 1.0 kg * 0.25 = 0.25 kg</w:t>
      </w:r>
    </w:p>
    <w:p>
      <w:pPr>
        <w:pStyle w:val="FirstParagraph"/>
      </w:pPr>
      <w:r>
        <w:rPr>
          <w:bCs/>
          <w:b/>
        </w:rPr>
        <w:t xml:space="preserve">Emissions/Credits:</w:t>
      </w:r>
    </w:p>
    <w:p>
      <w:pPr>
        <w:numPr>
          <w:ilvl w:val="0"/>
          <w:numId w:val="1016"/>
        </w:numPr>
        <w:pStyle w:val="Compact"/>
      </w:pPr>
      <w:r>
        <w:t xml:space="preserve">Recycling Credit: 0.75 kg * -1.5 kg CO2e/kg (avoided emissions) = -1.125 kg CO2e/unit</w:t>
      </w:r>
    </w:p>
    <w:p>
      <w:pPr>
        <w:numPr>
          <w:ilvl w:val="0"/>
          <w:numId w:val="1016"/>
        </w:numPr>
        <w:pStyle w:val="Compact"/>
      </w:pPr>
      <w:r>
        <w:t xml:space="preserve">Disposal Emissions (e.g., landfill): 0.25 kg * 0.033 kg CO2e/kg = 0.00825 kg CO2e/unit</w:t>
      </w:r>
    </w:p>
    <w:p>
      <w:pPr>
        <w:numPr>
          <w:ilvl w:val="0"/>
          <w:numId w:val="1016"/>
        </w:numPr>
        <w:pStyle w:val="Compact"/>
      </w:pPr>
      <w:r>
        <w:t xml:space="preserve">Total End-of-Life Emissions: -1.125 + 0.00825 = -1.117 kg CO2e/unit</w:t>
      </w:r>
    </w:p>
    <w:p>
      <w:pPr>
        <w:pStyle w:val="FirstParagraph"/>
      </w:pPr>
      <w:r>
        <w:rPr>
          <w:iCs/>
          <w:i/>
        </w:rPr>
        <w:t xml:space="preserve">The negative value indicates a net carbon saving due to the high recyclability and the implementation of circular programs, which avoid the production of virgin materials.</w:t>
      </w:r>
    </w:p>
    <w:bookmarkEnd w:id="36"/>
    <w:bookmarkStart w:id="37" w:name="total-product-carbon-footprint-summary"/>
    <w:p>
      <w:pPr>
        <w:pStyle w:val="Heading3"/>
      </w:pPr>
      <w:r>
        <w:t xml:space="preserve">3.6. Total Product Carbon Footprint Summary</w:t>
      </w:r>
    </w:p>
    <w:p>
      <w:pPr>
        <w:pStyle w:val="FirstParagraph"/>
      </w:pPr>
      <w:r>
        <w:t xml:space="preserve">The total PCF for one functional unit of pjtrjeeefd is the sum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 1)</w:t>
            </w:r>
          </w:p>
        </w:tc>
        <w:tc>
          <w:tcPr/>
          <w:p>
            <w:pPr>
              <w:pStyle w:val="Compact"/>
              <w:jc w:val="left"/>
            </w:pPr>
            <w:r>
              <w:t xml:space="preserve">5.95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5.20</w:t>
            </w:r>
          </w:p>
        </w:tc>
      </w:tr>
      <w:tr>
        <w:tc>
          <w:tcPr/>
          <w:p>
            <w:pPr>
              <w:pStyle w:val="Compact"/>
              <w:jc w:val="left"/>
            </w:pPr>
            <w:r>
              <w:t xml:space="preserve">Transportation &amp; Distribution</w:t>
            </w:r>
          </w:p>
        </w:tc>
        <w:tc>
          <w:tcPr/>
          <w:p>
            <w:pPr>
              <w:pStyle w:val="Compact"/>
              <w:jc w:val="left"/>
            </w:pPr>
            <w:r>
              <w:t xml:space="preserve">Scope 3 (Cat 4 &amp; 9)</w:t>
            </w:r>
          </w:p>
        </w:tc>
        <w:tc>
          <w:tcPr/>
          <w:p>
            <w:pPr>
              <w:pStyle w:val="Compact"/>
              <w:jc w:val="left"/>
            </w:pPr>
            <w:r>
              <w:t xml:space="preserve">12.77</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100.80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-1.117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123.603</w:t>
            </w:r>
          </w:p>
        </w:tc>
      </w:tr>
    </w:tbl>
    <w:p>
      <w:r>
        <w:pict>
          <v:rect style="width:0;height:1.5pt" o:hralign="center" o:hrstd="t" o:hr="t"/>
        </w:pict>
      </w:r>
    </w:p>
    <w:bookmarkEnd w:id="37"/>
    <w:bookmarkEnd w:id="38"/>
    <w:bookmarkStart w:id="41" w:name="review-report"/>
    <w:p>
      <w:pPr>
        <w:pStyle w:val="Heading2"/>
      </w:pPr>
      <w:r>
        <w:t xml:space="preserve">4. Review &amp; Report</w:t>
      </w:r>
    </w:p>
    <w:bookmarkStart w:id="39" w:name="emission-hotspots"/>
    <w:p>
      <w:pPr>
        <w:pStyle w:val="Heading3"/>
      </w:pPr>
      <w:r>
        <w:t xml:space="preserve">4.1. Emission Hotspots</w:t>
      </w:r>
    </w:p>
    <w:p>
      <w:pPr>
        <w:pStyle w:val="FirstParagraph"/>
      </w:pPr>
      <w:r>
        <w:t xml:space="preserve">Based on the calculations, the primary emission hotspots for pjtrjeeefd are:</w:t>
      </w:r>
    </w:p>
    <w:p>
      <w:pPr>
        <w:numPr>
          <w:ilvl w:val="0"/>
          <w:numId w:val="1017"/>
        </w:numPr>
        <w:pStyle w:val="Compact"/>
      </w:pPr>
      <w:r>
        <w:rPr>
          <w:bCs/>
          <w:b/>
        </w:rPr>
        <w:t xml:space="preserve">Use Phase (100.80 kg CO2e/unit):</w:t>
      </w:r>
      <w:r>
        <w:t xml:space="preserve"> </w:t>
      </w:r>
      <w:r>
        <w:t xml:space="preserve">This stage represents the largest contributor to the product\'s PCF, largely due to the energy consumption of the product over its 7-year lifespan. This highlights a significant area for potential emission reduction through improved energy efficiency of the product during use.</w:t>
      </w:r>
    </w:p>
    <w:p>
      <w:pPr>
        <w:numPr>
          <w:ilvl w:val="0"/>
          <w:numId w:val="1017"/>
        </w:numPr>
        <w:pStyle w:val="Compact"/>
      </w:pPr>
      <w:r>
        <w:rPr>
          <w:bCs/>
          <w:b/>
        </w:rPr>
        <w:t xml:space="preserve">Transportation &amp; Last-Mile Delivery (12.77 kg CO2e/unit):</w:t>
      </w:r>
      <w:r>
        <w:t xml:space="preserve"> </w:t>
      </w:r>
      <w:r>
        <w:t xml:space="preserve">While material and primary transport are relatively lower, the illustrative last-mile delivery contribution shows how significant this stage can be, especially if not optimized for efficiency.</w:t>
      </w:r>
    </w:p>
    <w:p>
      <w:pPr>
        <w:numPr>
          <w:ilvl w:val="0"/>
          <w:numId w:val="1017"/>
        </w:numPr>
        <w:pStyle w:val="Compact"/>
      </w:pPr>
      <w:r>
        <w:rPr>
          <w:bCs/>
          <w:b/>
        </w:rPr>
        <w:t xml:space="preserve">Manufacturing/Production (5.20 kg CO2e/unit):</w:t>
      </w:r>
      <w:r>
        <w:t xml:space="preserve"> </w:t>
      </w:r>
      <w:r>
        <w:t xml:space="preserve">Although renewable energy usage is at 60%, the remaining non-renewable electricity still contributes significantly, indicating further decarbonization opportunities in the energy mix.</w:t>
      </w:r>
    </w:p>
    <w:bookmarkEnd w:id="39"/>
    <w:bookmarkStart w:id="40" w:name="reliability-and-limitations"/>
    <w:p>
      <w:pPr>
        <w:pStyle w:val="Heading3"/>
      </w:pPr>
      <w:r>
        <w:t xml:space="preserve">4.2. Reliability and Limitations</w:t>
      </w:r>
    </w:p>
    <w:p>
      <w:pPr>
        <w:pStyle w:val="FirstParagraph"/>
      </w:pPr>
      <w:r>
        <w:t xml:space="preserve">This report provides a high-level, illustrative PCF analysis based on the provided parameters and generic, yet representative, emission factors from industry-standard databases like Ecoinvent and DEFRA.</w:t>
      </w:r>
    </w:p>
    <w:p>
      <w:pPr>
        <w:numPr>
          <w:ilvl w:val="0"/>
          <w:numId w:val="1018"/>
        </w:numPr>
        <w:pStyle w:val="Compact"/>
      </w:pPr>
      <w:r>
        <w:rPr>
          <w:bCs/>
          <w:b/>
        </w:rPr>
        <w:t xml:space="preserve">Illustrative Data:</w:t>
      </w:r>
      <w:r>
        <w:t xml:space="preserve"> </w:t>
      </w:r>
      <w:r>
        <w:t xml:space="preserve">The Bill of Materials, transport modes/distances, and specific energy consumption figures were illustrative examples based on the provided format. Actual, granular primary data for each material, specific transport routes, and precise energy consumption would yield more accurate results.</w:t>
      </w:r>
    </w:p>
    <w:p>
      <w:pPr>
        <w:numPr>
          <w:ilvl w:val="0"/>
          <w:numId w:val="1018"/>
        </w:numPr>
        <w:pStyle w:val="Compact"/>
      </w:pPr>
      <w:r>
        <w:rPr>
          <w:bCs/>
          <w:b/>
        </w:rPr>
        <w:t xml:space="preserve">Generic Emission Factors:</w:t>
      </w:r>
      <w:r>
        <w:t xml:space="preserve"> </w:t>
      </w:r>
      <w:r>
        <w:t xml:space="preserve">While based on industry standards, the emission factors used are generic and may not precisely reflect the specific supplier, manufacturing processes, or regional nuances of izufntvzmw\'s supply chain.</w:t>
      </w:r>
    </w:p>
    <w:p>
      <w:pPr>
        <w:numPr>
          <w:ilvl w:val="0"/>
          <w:numId w:val="1018"/>
        </w:numPr>
        <w:pStyle w:val="Compact"/>
      </w:pPr>
      <w:r>
        <w:rPr>
          <w:bCs/>
          <w:b/>
        </w:rPr>
        <w:t xml:space="preserve">Scope 3 Coverage:</w:t>
      </w:r>
      <w:r>
        <w:t xml:space="preserve"> </w:t>
      </w:r>
      <w:r>
        <w:t xml:space="preserve">Efforts have been made to achieve at least 95% Scope 3 coverage, encompassing major upstream and downstream categories. However, a full, exhaustive Scope 3 assessment would require even more detailed data across all 15 Scope 3 categories.</w:t>
      </w:r>
    </w:p>
    <w:p>
      <w:pPr>
        <w:numPr>
          <w:ilvl w:val="0"/>
          <w:numId w:val="1018"/>
        </w:numPr>
        <w:pStyle w:val="Compact"/>
      </w:pPr>
      <w:r>
        <w:rPr>
          <w:bCs/>
          <w:b/>
        </w:rPr>
        <w:t xml:space="preserve">LSR Standard:</w:t>
      </w:r>
      <w:r>
        <w:t xml:space="preserve"> </w:t>
      </w:r>
      <w:r>
        <w:t xml:space="preserve">The impact of the 2026 Land Sector and Removals (LSR) Standard has been acknowledged conceptually. A full implementation would require specific land-use data for raw material sourcing which was not available for this high-level report.</w:t>
      </w:r>
    </w:p>
    <w:p>
      <w:pPr>
        <w:pStyle w:val="FirstParagraph"/>
      </w:pPr>
      <w:r>
        <w:t xml:space="preserve">To enhance the accuracy and robustness of future PCF analyses, izufntvzmw should prioritize collecting more specific, primary data across its entire value chain, including supplier-specific emission data, actual transport logistics, and verified energy consumption figures.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pjtrjeeefd</dc:title>
  <dc:creator/>
  <dc:description>Detailed Product Carbon Footprint (PCF) analysis report for pjtrjeeefd, conducted by Senior Sustainability Consultant ytzmjssxui for izufntvzmw, adhering to GHG Protocol standards and 2026 LSR updates.</dc:description>
  <dc:language>en</dc:language>
  <cp:keywords/>
  <dcterms:created xsi:type="dcterms:W3CDTF">2026-05-30T16:44:45Z</dcterms:created>
  <dcterms:modified xsi:type="dcterms:W3CDTF">2026-05-30T16:44:45Z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