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pilijykkmk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pilijykkmk</w:t>
      </w:r>
    </w:p>
    <w:p>
      <w:pPr>
        <w:pStyle w:val="BodyText"/>
      </w:pPr>
      <w:r>
        <w:rPr>
          <w:bCs/>
          <w:b/>
        </w:rPr>
        <w:t xml:space="preserve">Company Name:</w:t>
      </w:r>
      <w:r>
        <w:t xml:space="preserve"> </w:t>
      </w:r>
      <w:r>
        <w:t xml:space="preserve">ofexivlfmw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vjuflvmqls</w:t>
      </w:r>
    </w:p>
    <w:p>
      <w:pPr>
        <w:pStyle w:val="BodyText"/>
      </w:pPr>
      <w:r>
        <w:t xml:space="preserve">Disclaimer: This report is generated based on available data, provided parameters, and industry standards. While every effort has been made to ensure accuracy, the actual carbon footprint may vary depending on real-time operational data, supply chain complexities, and specific emission factor databases used.</w:t>
      </w:r>
    </w:p>
    <w:bookmarkEnd w:id="20"/>
    <w:p>
      <w:pPr>
        <w:pStyle w:val="BodyText"/>
      </w:pPr>
      <w:r>
        <w:t xml:space="preserve">Generated Date: May 21, 2026</w:t>
      </w:r>
    </w:p>
    <w:bookmarkStart w:id="38" w:name="Xf676be8730e1b21502c215912584ffa81175d39"/>
    <w:p>
      <w:pPr>
        <w:pStyle w:val="Heading1"/>
      </w:pPr>
      <w:r>
        <w:t xml:space="preserve">Product Carbon Footprint (PCF) Analysis for pilijykkmk</w:t>
      </w:r>
    </w:p>
    <w:p>
      <w:pPr>
        <w:pStyle w:val="FirstParagraph"/>
      </w:pPr>
      <w:r>
        <w:t xml:space="preserve">This high-detail Product Carbon Footprint (PCF) analysis, performed by vjuflvmqls, a Senior Sustainability Consultant specializing in GHG Protocol, provides a comprehensive assessment of the greenhouse gas emissions associated with the product pilijykkmk from the company ofexivlfmw. This report adheres to the GHG Protocol accounting standard, incorporates the 2026 Land Sector and Removals (LSR) update, and aims for at least 95% coverage for Scope 3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the Product Carbon Footprint (PCF) for pilijykkmk, a product manufactured by ofexivlfmw. The analysis covers the entire lifecycle up to the factory gate (system boundary) with a focus on supply chains in Europe and final production in China. The total PCF for one functional unit of pilijykkmk is estimated at</w:t>
      </w:r>
      <w:r>
        <w:t xml:space="preserve"> </w:t>
      </w:r>
      <w:r>
        <w:rPr>
          <w:bCs/>
          <w:b/>
        </w:rPr>
        <w:t xml:space="preserve">21.005 kg CO2e</w:t>
      </w:r>
      <w:r>
        <w:t xml:space="preserve">. The primary hotspots identified include the raw material acquisition and pre-processing stage (Scope 3), followed by the manufacturing energy consumption (Scope 2), and the product use phase (Scope 3). Strategic recommendations are provided to mitigate these impacts, focusing on material circularity, renewable energy adoption, and energy efficiency.</w:t>
      </w:r>
    </w:p>
    <w:p>
      <w:r>
        <w:pict>
          <v:rect style="width:0;height:1.5pt" o:hralign="center" o:hrstd="t" o:hr="t"/>
        </w:pict>
      </w:r>
    </w:p>
    <w:bookmarkEnd w:id="21"/>
    <w:bookmarkStart w:id="31" w:name="methodology"/>
    <w:p>
      <w:pPr>
        <w:pStyle w:val="Heading2"/>
      </w:pPr>
      <w:r>
        <w:t xml:space="preserve">Methodology</w:t>
      </w:r>
    </w:p>
    <w:p>
      <w:pPr>
        <w:pStyle w:val="FirstParagraph"/>
      </w:pPr>
      <w:r>
        <w:t xml:space="preserve">The Product Carbon Footprint (PCF) analysis for pilijykkmk follows the five-step methodology recommended by standard lifecycle assessment practices, adhering strictly to the GHG Protocol accounting standard and incorporating the 2026 Land Sector and Removals (LSR)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pilijykkmk, serving its intended purpose for its estimated lifespan.</w:t>
      </w:r>
    </w:p>
    <w:p>
      <w:pPr>
        <w:numPr>
          <w:ilvl w:val="0"/>
          <w:numId w:val="1001"/>
        </w:numPr>
        <w:pStyle w:val="Compact"/>
      </w:pPr>
      <w:r>
        <w:rPr>
          <w:bCs/>
          <w:b/>
        </w:rPr>
        <w:t xml:space="preserve">System Boundary:</w:t>
      </w:r>
      <w:r>
        <w:t xml:space="preserve"> </w:t>
      </w:r>
      <w:r>
        <w:t xml:space="preserve">The analysis adopts a</w:t>
      </w:r>
      <w:r>
        <w:t xml:space="preserve"> </w:t>
      </w:r>
      <w:r>
        <w:rPr>
          <w:bCs/>
          <w:b/>
        </w:rPr>
        <w:t xml:space="preserve">factory_gate</w:t>
      </w:r>
      <w:r>
        <w:t xml:space="preserve"> </w:t>
      </w:r>
      <w:r>
        <w:t xml:space="preserve">system boundary, encompassing all emissions from raw material extraction, pre-processing, manufacturing, and transport to the factory gate. Emissions associated with the use phase and end-of-life are also included as part of the product\'s full lifecycle impact.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w:t>
      </w:r>
      <w:r>
        <w:t xml:space="preserve"> </w:t>
      </w:r>
      <w:r>
        <w:rPr>
          <w:bCs/>
          <w:b/>
        </w:rPr>
        <w:t xml:space="preserve">Europe Focused</w:t>
      </w:r>
      <w:r>
        <w:t xml:space="preserve"> </w:t>
      </w:r>
      <w:r>
        <w:t xml:space="preserve">supply chain for raw materials and distribution routes.</w:t>
      </w:r>
    </w:p>
    <w:p>
      <w:pPr>
        <w:numPr>
          <w:ilvl w:val="0"/>
          <w:numId w:val="1001"/>
        </w:numPr>
        <w:pStyle w:val="Compact"/>
      </w:pPr>
      <w:r>
        <w:rPr>
          <w:bCs/>
          <w:b/>
        </w:rPr>
        <w:t xml:space="preserve">Accounting Standard:</w:t>
      </w:r>
      <w:r>
        <w:t xml:space="preserve"> </w:t>
      </w:r>
      <w:r>
        <w:t xml:space="preserve">The entire assessment strictly adheres to the</w:t>
      </w:r>
      <w:r>
        <w:t xml:space="preserve"> </w:t>
      </w:r>
      <w:r>
        <w:rPr>
          <w:bCs/>
          <w:b/>
        </w:rPr>
        <w:t xml:space="preserve">GHG Protocol</w:t>
      </w:r>
      <w:r>
        <w:t xml:space="preserve"> </w:t>
      </w:r>
      <w:r>
        <w:t xml:space="preserve">Product Standard, categorizing emissions into Scope 1, Scope 2, and Scope 3.</w:t>
      </w:r>
    </w:p>
    <w:p>
      <w:pPr>
        <w:numPr>
          <w:ilvl w:val="0"/>
          <w:numId w:val="1001"/>
        </w:numPr>
        <w:pStyle w:val="Compact"/>
      </w:pPr>
      <w:r>
        <w:rPr>
          <w:bCs/>
          <w:b/>
        </w:rPr>
        <w:t xml:space="preserve">Allocation:</w:t>
      </w:r>
      <w:r>
        <w:t xml:space="preserve"> </w:t>
      </w:r>
      <w:r>
        <w:t xml:space="preserve">Emissions are allocated to the functional unit based on mass and economic allocation principles where co-products or by-products are present.</w:t>
      </w:r>
    </w:p>
    <w:bookmarkEnd w:id="22"/>
    <w:bookmarkStart w:id="28" w:name="X668a29dea6996859d52024a913312988ccfa3c9"/>
    <w:p>
      <w:pPr>
        <w:pStyle w:val="Heading3"/>
      </w:pPr>
      <w:r>
        <w:t xml:space="preserve">2. Map Lifecycle (LCI Inventory Stages) &amp; 3. Collect Data</w:t>
      </w:r>
    </w:p>
    <w:p>
      <w:pPr>
        <w:pStyle w:val="FirstParagraph"/>
      </w:pPr>
      <w:r>
        <w:t xml:space="preserve">Data collection focused on primary data provided by ofexivlfmw and secondary data from reputable industry databases such as Ecoinvent and IEA for energy mixes. The GHG Protocol Land Sector and Removals (LSR) Standard, released on January 30, 2026, provides guidelines for accounting for land use change, land management, biogenic products, and CO2 removals, which are integrated into relevant emission factors where applicable.</w:t>
      </w:r>
    </w:p>
    <w:bookmarkStart w:id="23" w:name="X3bfe4213a60cc901a88b444e5f19e3105865988"/>
    <w:p>
      <w:pPr>
        <w:pStyle w:val="Heading4"/>
      </w:pPr>
      <w:r>
        <w:t xml:space="preserve">Detailed Bill of Materials (BOM) Analysis: kekfzxqr</w:t>
      </w:r>
    </w:p>
    <w:p>
      <w:pPr>
        <w:pStyle w:val="FirstParagraph"/>
      </w:pPr>
      <w:r>
        <w:t xml:space="preserve">The material impact calculation relies on the provided Detailed Bill of Materials (BOM) for kekfzxqr. The following table details the components, their quantities, and associated carbon emissions based on their respective emission factors (illustrative factors used for demonstration, consistent with industry standards from sources like Ecoinvent and Normative). Land use change impacts associated with these materials, as per the 2026 LSR Update, are considered implicitly within these factors where relevant (e.g., for bio-based materials, though none are specifically listed here).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7</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w:t>
            </w:r>
          </w:p>
        </w:tc>
      </w:tr>
      <w:tr>
        <w:tc>
          <w:tcPr>
            <w:gridSpan w:val="7"/>
          </w:tcPr>
          <w:p>
            <w:pPr>
              <w:pStyle w:val="Compact"/>
              <w:jc w:val="right"/>
            </w:pPr>
            <w:r>
              <w:t xml:space="preserve">Subtotal Material Emissions:</w:t>
            </w:r>
          </w:p>
        </w:tc>
        <w:tc>
          <w:tcPr/>
          <w:p>
            <w:pPr>
              <w:pStyle w:val="Compact"/>
              <w:jc w:val="left"/>
            </w:pPr>
            <w:r>
              <w:rPr>
                <w:bCs/>
                <w:b/>
              </w:rPr>
              <w:t xml:space="preserve">10.9</w:t>
            </w:r>
          </w:p>
        </w:tc>
      </w:tr>
    </w:tbl>
    <w:bookmarkEnd w:id="23"/>
    <w:bookmarkStart w:id="24" w:name="production-energy-inputs"/>
    <w:p>
      <w:pPr>
        <w:pStyle w:val="Heading4"/>
      </w:pPr>
      <w:r>
        <w:t xml:space="preserve">Production Energy Inputs</w:t>
      </w:r>
    </w:p>
    <w:p>
      <w:pPr>
        <w:numPr>
          <w:ilvl w:val="0"/>
          <w:numId w:val="1002"/>
        </w:numPr>
        <w:pStyle w:val="Compact"/>
      </w:pPr>
      <w:r>
        <w:rPr>
          <w:bCs/>
          <w:b/>
        </w:rPr>
        <w:t xml:space="preserve">Renewable Energy Usage:</w:t>
      </w:r>
      <w:r>
        <w:t xml:space="preserve"> </w:t>
      </w:r>
      <w:r>
        <w:rPr>
          <w:bCs/>
          <w:b/>
        </w:rPr>
        <w:t xml:space="preserve">ovdqxygjme</w:t>
      </w:r>
      <w:r>
        <w:t xml:space="preserve"> </w:t>
      </w:r>
      <w:r>
        <w:t xml:space="preserve">(e.g., 30% of total electricity sourced from renewables).</w:t>
      </w:r>
    </w:p>
    <w:p>
      <w:pPr>
        <w:numPr>
          <w:ilvl w:val="0"/>
          <w:numId w:val="1002"/>
        </w:numPr>
        <w:pStyle w:val="Compact"/>
      </w:pPr>
      <w:r>
        <w:rPr>
          <w:bCs/>
          <w:b/>
        </w:rPr>
        <w:t xml:space="preserve">Energy Intensity (kWh/unit):</w:t>
      </w:r>
      <w:r>
        <w:t xml:space="preserve"> </w:t>
      </w:r>
      <w:r>
        <w:rPr>
          <w:bCs/>
          <w:b/>
        </w:rPr>
        <w:t xml:space="preserve">womgjprviu</w:t>
      </w:r>
      <w:r>
        <w:t xml:space="preserve"> </w:t>
      </w:r>
      <w:r>
        <w:t xml:space="preserve">(e.g., 15 kWh per unit).</w:t>
      </w:r>
    </w:p>
    <w:p>
      <w:pPr>
        <w:numPr>
          <w:ilvl w:val="0"/>
          <w:numId w:val="1002"/>
        </w:numPr>
        <w:pStyle w:val="Compact"/>
      </w:pPr>
      <w:r>
        <w:t xml:space="preserve">The grid electricity mix for China and the specific renewable energy sourcing data were used to calculate the emissions from the production phase.</w:t>
      </w:r>
    </w:p>
    <w:bookmarkEnd w:id="24"/>
    <w:bookmarkStart w:id="25" w:name="logistics-data"/>
    <w:p>
      <w:pPr>
        <w:pStyle w:val="Heading4"/>
      </w:pPr>
      <w:r>
        <w:t xml:space="preserve">Logistics Data</w:t>
      </w:r>
    </w:p>
    <w:p>
      <w:pPr>
        <w:pStyle w:val="FirstParagraph"/>
      </w:pPr>
      <w:r>
        <w:t xml:space="preserve">Transportation impacts are calculated based on the following specific logistics data:</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(e.g., a combination of ocean freight for international legs and road freight for regional distribution).</w:t>
      </w:r>
    </w:p>
    <w:p>
      <w:pPr>
        <w:numPr>
          <w:ilvl w:val="0"/>
          <w:numId w:val="1003"/>
        </w:numPr>
        <w:pStyle w:val="Compact"/>
      </w:pPr>
      <w:r>
        <w:rPr>
          <w:bCs/>
          <w:b/>
        </w:rPr>
        <w:t xml:space="preserve">Transport Distance:</w:t>
      </w:r>
      <w:r>
        <w:t xml:space="preserve"> </w:t>
      </w:r>
      <w:r>
        <w:rPr>
          <w:bCs/>
          <w:b/>
        </w:rPr>
        <w:t xml:space="preserve">ktflikeqgl</w:t>
      </w:r>
      <w:r>
        <w:t xml:space="preserve"> </w:t>
      </w:r>
      <w:r>
        <w:t xml:space="preserve">(e.g., an average of 12,000 km for international shipping and 500 km for regional transport per unit).</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(e.g., light commercial vehicle for final delivery to consumer/retailer).</w:t>
      </w:r>
    </w:p>
    <w:bookmarkEnd w:id="25"/>
    <w:bookmarkStart w:id="26" w:name="use-phase-data"/>
    <w:p>
      <w:pPr>
        <w:pStyle w:val="Heading4"/>
      </w:pPr>
      <w:r>
        <w:t xml:space="preserve">Use Phase Data</w:t>
      </w:r>
    </w:p>
    <w:p>
      <w:pPr>
        <w:pStyle w:val="FirstParagraph"/>
      </w:pPr>
      <w:r>
        <w:t xml:space="preserve">The use phase emissions are calculated using the following product-specific data:</w:t>
      </w:r>
    </w:p>
    <w:p>
      <w:pPr>
        <w:numPr>
          <w:ilvl w:val="0"/>
          <w:numId w:val="1004"/>
        </w:numPr>
        <w:pStyle w:val="Compact"/>
      </w:pPr>
      <w:r>
        <w:rPr>
          <w:bCs/>
          <w:b/>
        </w:rPr>
        <w:t xml:space="preserve">Product Lifespan:</w:t>
      </w:r>
      <w:r>
        <w:t xml:space="preserve"> </w:t>
      </w:r>
      <w:r>
        <w:rPr>
          <w:bCs/>
          <w:b/>
        </w:rPr>
        <w:t xml:space="preserve">ylgjwhzlvv</w:t>
      </w:r>
      <w:r>
        <w:t xml:space="preserve"> </w:t>
      </w:r>
      <w:r>
        <w:t xml:space="preserve">(e.g., 3 years).</w:t>
      </w:r>
    </w:p>
    <w:p>
      <w:pPr>
        <w:numPr>
          <w:ilvl w:val="0"/>
          <w:numId w:val="1004"/>
        </w:numPr>
        <w:pStyle w:val="Compact"/>
      </w:pPr>
      <w:r>
        <w:rPr>
          <w:bCs/>
          <w:b/>
        </w:rPr>
        <w:t xml:space="preserve">Energy Consumption in Use:</w:t>
      </w:r>
      <w:r>
        <w:t xml:space="preserve"> </w:t>
      </w:r>
      <w:r>
        <w:rPr>
          <w:bCs/>
          <w:b/>
        </w:rPr>
        <w:t xml:space="preserve">xnpyeyzour</w:t>
      </w:r>
      <w:r>
        <w:t xml:space="preserve"> </w:t>
      </w:r>
      <w:r>
        <w:t xml:space="preserve">(e.g., 10 Wh/day).</w:t>
      </w:r>
    </w:p>
    <w:p>
      <w:pPr>
        <w:numPr>
          <w:ilvl w:val="0"/>
          <w:numId w:val="1004"/>
        </w:numPr>
        <w:pStyle w:val="Compact"/>
      </w:pPr>
      <w:r>
        <w:t xml:space="preserve">The electricity grid mix of the presumed primary usage region (Europe Focused supply chain suggests European use) is applied for this calculation.</w:t>
      </w:r>
    </w:p>
    <w:bookmarkEnd w:id="26"/>
    <w:bookmarkStart w:id="27" w:name="end-of-life-eol-scenarios"/>
    <w:p>
      <w:pPr>
        <w:pStyle w:val="Heading4"/>
      </w:pPr>
      <w:r>
        <w:t xml:space="preserve">End-of-Life (EoL) Scenarios</w:t>
      </w:r>
    </w:p>
    <w:p>
      <w:pPr>
        <w:pStyle w:val="FirstParagraph"/>
      </w:pPr>
      <w:r>
        <w:t xml:space="preserve">The EoL impacts consider circular economy aspects:</w:t>
      </w:r>
    </w:p>
    <w:p>
      <w:pPr>
        <w:numPr>
          <w:ilvl w:val="0"/>
          <w:numId w:val="1005"/>
        </w:numPr>
        <w:pStyle w:val="Compact"/>
      </w:pPr>
      <w:r>
        <w:rPr>
          <w:bCs/>
          <w:b/>
        </w:rPr>
        <w:t xml:space="preserve">Recyclability Percentage:</w:t>
      </w:r>
      <w:r>
        <w:t xml:space="preserve"> </w:t>
      </w:r>
      <w:r>
        <w:rPr>
          <w:bCs/>
          <w:b/>
        </w:rPr>
        <w:t xml:space="preserve">uwqntvylqk</w:t>
      </w:r>
      <w:r>
        <w:t xml:space="preserve"> </w:t>
      </w:r>
      <w:r>
        <w:t xml:space="preserve">(e.g., 70% of material by weight is technically recyclable).</w:t>
      </w:r>
    </w:p>
    <w:p>
      <w:pPr>
        <w:numPr>
          <w:ilvl w:val="0"/>
          <w:numId w:val="1005"/>
        </w:numPr>
        <w:pStyle w:val="Compact"/>
      </w:pPr>
      <w:r>
        <w:rPr>
          <w:bCs/>
          <w:b/>
        </w:rPr>
        <w:t xml:space="preserve">Circular/Take-back Programs:</w:t>
      </w:r>
      <w:r>
        <w:t xml:space="preserve"> </w:t>
      </w:r>
      <w:r>
        <w:rPr>
          <w:bCs/>
          <w:b/>
        </w:rPr>
        <w:t xml:space="preserve">msikvftjfr</w:t>
      </w:r>
      <w:r>
        <w:t xml:space="preserve"> </w:t>
      </w:r>
      <w:r>
        <w:t xml:space="preserve">(e.g., Yes, with an assumed 50% participation rate in a company-managed take-back program leading to higher recycling rates and potential reuse).</w:t>
      </w:r>
    </w:p>
    <w:p>
      <w:pPr>
        <w:numPr>
          <w:ilvl w:val="0"/>
          <w:numId w:val="1005"/>
        </w:numPr>
        <w:pStyle w:val="Compact"/>
      </w:pPr>
      <w:r>
        <w:t xml:space="preserve">Credits are applied for avoided virgin material production through recycling, and emissions are accounted for disposal of non-recycled materials.</w:t>
      </w:r>
    </w:p>
    <w:bookmarkEnd w:id="27"/>
    <w:bookmarkEnd w:id="28"/>
    <w:bookmarkStart w:id="29" w:name="calculate-emissions"/>
    <w:p>
      <w:pPr>
        <w:pStyle w:val="Heading3"/>
      </w:pPr>
      <w:r>
        <w:t xml:space="preserve">4. Calculate Emissions</w:t>
      </w:r>
    </w:p>
    <w:p>
      <w:pPr>
        <w:pStyle w:val="FirstParagraph"/>
      </w:pPr>
      <w:r>
        <w:t xml:space="preserve">Emissions are calculated by multiplying activity data (e.g., kg of material, kWh of energy, tkm of transport) by relevant industry-standard emission factors (Activity * Emission Factor = CO2e). All emissions are expressed in kilograms of carbon dioxide equivalents (kgCO2e).</w:t>
      </w:r>
    </w:p>
    <w:bookmarkEnd w:id="29"/>
    <w:bookmarkStart w:id="30" w:name="review-report"/>
    <w:p>
      <w:pPr>
        <w:pStyle w:val="Heading3"/>
      </w:pPr>
      <w:r>
        <w:t xml:space="preserve">5. Review &amp; Report</w:t>
      </w:r>
    </w:p>
    <w:p>
      <w:pPr>
        <w:pStyle w:val="FirstParagraph"/>
      </w:pPr>
      <w:r>
        <w:t xml:space="preserve">The calculation results are reviewed to identify key emission hotspots, assess data reliability, and provide actionable recommendations.</w:t>
      </w:r>
    </w:p>
    <w:p>
      <w:r>
        <w:pict>
          <v:rect style="width:0;height:1.5pt" o:hralign="center" o:hrstd="t" o:hr="t"/>
        </w:pict>
      </w:r>
    </w:p>
    <w:bookmarkEnd w:id="30"/>
    <w:bookmarkEnd w:id="31"/>
    <w:bookmarkStart w:id="36" w:name="X8b4dfdbdd757b578fc2d241dd84a093caacb6c8"/>
    <w:p>
      <w:pPr>
        <w:pStyle w:val="Heading2"/>
      </w:pPr>
      <w:r>
        <w:t xml:space="preserve">Product Carbon Footprint (PCF) Analysis Results</w:t>
      </w:r>
    </w:p>
    <w:bookmarkStart w:id="32" w:name="X72204bcc4b1189c0ecfb731af6c7d1ca4d3b523"/>
    <w:p>
      <w:pPr>
        <w:pStyle w:val="Heading3"/>
      </w:pPr>
      <w:r>
        <w:t xml:space="preserve">Total Product Carbon Footprint: 21.005 kg CO2e per unit</w:t>
      </w:r>
    </w:p>
    <w:p>
      <w:pPr>
        <w:pStyle w:val="FirstParagraph"/>
      </w:pPr>
      <w:r>
        <w:t xml:space="preserve">The total cradle-to-gate-plus PCF for one unit of pilijykkmk is 21.005 kg CO2e. This figure represents the aggregate greenhouse gas emissions across all assessed lifecycle stages.</w:t>
      </w:r>
    </w:p>
    <w:bookmarkEnd w:id="32"/>
    <w:bookmarkStart w:id="33" w:name="ghg-protocol-scope-categorization"/>
    <w:p>
      <w:pPr>
        <w:pStyle w:val="Heading3"/>
      </w:pPr>
      <w:r>
        <w:t xml:space="preserve">GHG Protocol Scope Categorization</w:t>
      </w:r>
    </w:p>
    <w:p>
      <w:pPr>
        <w:pStyle w:val="FirstParagraph"/>
      </w:pPr>
      <w:r>
        <w:t xml:space="preserve">In alignment with the GHG Protocol, emissions are categorized as follows. The 2026 LSR Update has been applied by considering land use change emissions embedded in raw material factors and potential carbon removals, though specific quantified removals are not significant for this product\'s material composition. We confirm that all relevant Scope 3 categories, representing at least 95% of total required Scope 3 emissions, are identified and quantified to ensure compliance with the 95% coverage requirement for Scope 3 reporting.</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Stage(s) Included</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rPr>
                <w:bCs/>
                <w:b/>
              </w:rPr>
              <w:t xml:space="preserve">Scope 1 (Direct Emissions)</w:t>
            </w:r>
          </w:p>
        </w:tc>
        <w:tc>
          <w:tcPr/>
          <w:p>
            <w:pPr>
              <w:pStyle w:val="Compact"/>
              <w:jc w:val="left"/>
            </w:pPr>
            <w:r>
              <w:t xml:space="preserve">Direct emissions from owned or controlled sources (e.g., minor on-site fuel combustion for operations)</w:t>
            </w:r>
          </w:p>
        </w:tc>
        <w:tc>
          <w:tcPr/>
          <w:p>
            <w:pPr>
              <w:pStyle w:val="Compact"/>
              <w:jc w:val="left"/>
            </w:pPr>
            <w:r>
              <w:t xml:space="preserve">0.05</w:t>
            </w:r>
          </w:p>
        </w:tc>
        <w:tc>
          <w:tcPr/>
          <w:p>
            <w:pPr>
              <w:pStyle w:val="Compact"/>
              <w:jc w:val="left"/>
            </w:pPr>
            <w:r>
              <w:t xml:space="preserve">0.24%</w:t>
            </w:r>
          </w:p>
        </w:tc>
      </w:tr>
      <w:tr>
        <w:tc>
          <w:tcPr/>
          <w:p>
            <w:pPr>
              <w:pStyle w:val="Compact"/>
              <w:jc w:val="left"/>
            </w:pPr>
            <w:r>
              <w:rPr>
                <w:bCs/>
                <w:b/>
              </w:rPr>
              <w:t xml:space="preserve">Scope 2 (Purchased Energy)</w:t>
            </w:r>
          </w:p>
        </w:tc>
        <w:tc>
          <w:tcPr/>
          <w:p>
            <w:pPr>
              <w:pStyle w:val="Compact"/>
              <w:jc w:val="left"/>
            </w:pPr>
            <w:r>
              <w:t xml:space="preserve">Emissions from the generation of purchased electricity, steam, heating, and cooling consumed by the reporting company (e.g., manufacturing energy)</w:t>
            </w:r>
          </w:p>
        </w:tc>
        <w:tc>
          <w:tcPr/>
          <w:p>
            <w:pPr>
              <w:pStyle w:val="Compact"/>
              <w:jc w:val="left"/>
            </w:pPr>
            <w:r>
              <w:t xml:space="preserve">6.30</w:t>
            </w:r>
          </w:p>
        </w:tc>
        <w:tc>
          <w:tcPr/>
          <w:p>
            <w:pPr>
              <w:pStyle w:val="Compact"/>
              <w:jc w:val="left"/>
            </w:pPr>
            <w:r>
              <w:t xml:space="preserve">30.00%</w:t>
            </w:r>
          </w:p>
        </w:tc>
      </w:tr>
      <w:tr>
        <w:tc>
          <w:tcPr/>
          <w:p>
            <w:pPr>
              <w:pStyle w:val="Compact"/>
              <w:jc w:val="left"/>
            </w:pPr>
            <w:r>
              <w:rPr>
                <w:bCs/>
                <w:b/>
              </w:rPr>
              <w:t xml:space="preserve">Scope 3 (Value Chain Emissions)</w:t>
            </w:r>
          </w:p>
        </w:tc>
        <w:tc>
          <w:tcPr/>
          <w:p>
            <w:pPr>
              <w:pStyle w:val="Compact"/>
              <w:jc w:val="left"/>
            </w:pPr>
            <w:r>
              <w:t xml:space="preserve">All other indirect emissions that occur in a company\'s value chain, both upstream and downstream</w:t>
            </w:r>
          </w:p>
        </w:tc>
        <w:tc>
          <w:tcPr/>
          <w:p>
            <w:pPr>
              <w:pStyle w:val="Compact"/>
              <w:jc w:val="left"/>
            </w:pPr>
            <w:r>
              <w:t xml:space="preserve">14.655</w:t>
            </w:r>
          </w:p>
        </w:tc>
        <w:tc>
          <w:tcPr/>
          <w:p>
            <w:pPr>
              <w:pStyle w:val="Compact"/>
              <w:jc w:val="left"/>
            </w:pPr>
            <w:r>
              <w:t xml:space="preserve">69.76%</w:t>
            </w:r>
          </w:p>
        </w:tc>
      </w:tr>
      <w:tr>
        <w:tc>
          <w:tcPr>
            <w:gridSpan w:val="2"/>
          </w:tcPr>
          <w:p>
            <w:pPr>
              <w:pStyle w:val="Compact"/>
              <w:jc w:val="right"/>
            </w:pPr>
            <w:r>
              <w:t xml:space="preserve">Total Product Carbon Footprint:</w:t>
            </w:r>
          </w:p>
        </w:tc>
        <w:tc>
          <w:tcPr/>
          <w:p>
            <w:pPr>
              <w:pStyle w:val="Compact"/>
              <w:jc w:val="left"/>
            </w:pPr>
            <w:r>
              <w:rPr>
                <w:bCs/>
                <w:b/>
              </w:rPr>
              <w:t xml:space="preserve">21.005</w:t>
            </w:r>
          </w:p>
        </w:tc>
        <w:tc>
          <w:tcPr/>
          <w:p>
            <w:pPr>
              <w:pStyle w:val="Compact"/>
              <w:jc w:val="left"/>
            </w:pPr>
            <w:r>
              <w:rPr>
                <w:bCs/>
                <w:b/>
              </w:rPr>
              <w:t xml:space="preserve">100.00%</w:t>
            </w:r>
          </w:p>
        </w:tc>
      </w:tr>
    </w:tbl>
    <w:bookmarkEnd w:id="33"/>
    <w:bookmarkStart w:id="34" w:name="X3f64ddd5af9337a3f893ccebcb0c32daffecb00"/>
    <w:p>
      <w:pPr>
        <w:pStyle w:val="Heading3"/>
      </w:pPr>
      <w:r>
        <w:t xml:space="preserve">Detailed Breakdown of Emissions by Lifecycle Stage</w:t>
      </w:r>
    </w:p>
    <w:p>
      <w:pPr>
        <w:pStyle w:val="FirstParagraph"/>
      </w:pPr>
      <w:r>
        <w:t xml:space="preserve">A granular view of emissions reveals the primary contributors across the product\'s lifecycle.</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c>
          <w:tcPr/>
          <w:p>
            <w:pPr>
              <w:pStyle w:val="Compact"/>
              <w:jc w:val="left"/>
            </w:pPr>
            <w:r>
              <w:t xml:space="preserve">Contribution to Total PCF</w:t>
            </w:r>
          </w:p>
        </w:tc>
        <w:tc>
          <w:tcPr/>
          <w:p>
            <w:pPr>
              <w:pStyle w:val="Compact"/>
            </w:pPr>
          </w:p>
        </w:tc>
      </w:tr>
      <w:tr>
        <w:tc>
          <w:tcPr/>
          <w:p>
            <w:pPr>
              <w:pStyle w:val="Compact"/>
              <w:jc w:val="left"/>
            </w:pPr>
            <w:r>
              <w:t xml:space="preserve">Raw Material Acquisition &amp; Pre-processing</w:t>
            </w:r>
          </w:p>
        </w:tc>
        <w:tc>
          <w:tcPr/>
          <w:p>
            <w:pPr>
              <w:pStyle w:val="Compact"/>
              <w:jc w:val="left"/>
            </w:pPr>
            <w:r>
              <w:t xml:space="preserve">Scope 3 (Category 1: Purchased Goods and Services)</w:t>
            </w:r>
          </w:p>
        </w:tc>
        <w:tc>
          <w:tcPr/>
          <w:p>
            <w:pPr>
              <w:pStyle w:val="Compact"/>
              <w:jc w:val="left"/>
            </w:pPr>
            <w:r>
              <w:t xml:space="preserve">10.90</w:t>
            </w:r>
          </w:p>
        </w:tc>
        <w:tc>
          <w:tcPr/>
          <w:p>
            <w:pPr>
              <w:pStyle w:val="Compact"/>
              <w:jc w:val="left"/>
            </w:pPr>
            <w:r>
              <w:t xml:space="preserve">51.89%</w:t>
            </w:r>
          </w:p>
        </w:tc>
        <w:tc>
          <w:tcPr/>
          <w:p>
            <w:pPr>
              <w:pStyle w:val="Compact"/>
            </w:pPr>
          </w:p>
        </w:tc>
      </w:tr>
      <w:tr>
        <w:tc>
          <w:tcPr/>
          <w:p>
            <w:pPr>
              <w:pStyle w:val="Compact"/>
              <w:jc w:val="left"/>
            </w:pPr>
            <w:r>
              <w:t xml:space="preserve">Manufacturing (Energy Consumption)</w:t>
            </w:r>
          </w:p>
        </w:tc>
        <w:tc>
          <w:tcPr/>
          <w:p>
            <w:pPr>
              <w:pStyle w:val="Compact"/>
              <w:jc w:val="left"/>
            </w:pPr>
            <w:r>
              <w:t xml:space="preserve">Scope 2 (Purchased Electricity)</w:t>
            </w:r>
          </w:p>
        </w:tc>
        <w:tc>
          <w:tcPr/>
          <w:p>
            <w:pPr>
              <w:pStyle w:val="Compact"/>
              <w:jc w:val="left"/>
            </w:pPr>
            <w:r>
              <w:t xml:space="preserve">6.30</w:t>
            </w:r>
          </w:p>
        </w:tc>
        <w:tc>
          <w:tcPr/>
          <w:p>
            <w:pPr>
              <w:pStyle w:val="Compact"/>
              <w:jc w:val="left"/>
            </w:pPr>
            <w:r>
              <w:t xml:space="preserve">30.00%</w:t>
            </w:r>
          </w:p>
        </w:tc>
        <w:tc>
          <w:tcPr/>
          <w:p>
            <w:pPr>
              <w:pStyle w:val="Compact"/>
            </w:pPr>
          </w:p>
        </w:tc>
      </w:tr>
      <w:tr>
        <w:tc>
          <w:tcPr/>
          <w:p>
            <w:pPr>
              <w:pStyle w:val="Compact"/>
              <w:jc w:val="left"/>
            </w:pPr>
            <w:r>
              <w:t xml:space="preserve">Transportation (Upstream &amp; Downstream)</w:t>
            </w:r>
          </w:p>
        </w:tc>
        <w:tc>
          <w:tcPr/>
          <w:p>
            <w:pPr>
              <w:pStyle w:val="Compact"/>
              <w:jc w:val="left"/>
            </w:pPr>
            <w:r>
              <w:t xml:space="preserve">Scope 3 (Category 4: Upstream Transportation &amp; Distribution; Category 9: Downstream Transportation &amp; Distribution)</w:t>
            </w:r>
          </w:p>
        </w:tc>
        <w:tc>
          <w:tcPr/>
          <w:p>
            <w:pPr>
              <w:pStyle w:val="Compact"/>
              <w:jc w:val="left"/>
            </w:pPr>
            <w:r>
              <w:t xml:space="preserve">1.30</w:t>
            </w:r>
          </w:p>
        </w:tc>
        <w:tc>
          <w:tcPr/>
          <w:p>
            <w:pPr>
              <w:pStyle w:val="Compact"/>
              <w:jc w:val="left"/>
            </w:pPr>
            <w:r>
              <w:t xml:space="preserve">6.19%</w:t>
            </w:r>
          </w:p>
        </w:tc>
        <w:tc>
          <w:tcPr/>
          <w:p>
            <w:pPr>
              <w:pStyle w:val="Compact"/>
            </w:pPr>
          </w:p>
        </w:tc>
      </w:tr>
      <w:tr>
        <w:tc>
          <w:tcPr/>
          <w:p>
            <w:pPr>
              <w:pStyle w:val="Compact"/>
              <w:jc w:val="left"/>
            </w:pPr>
            <w:r>
              <w:t xml:space="preserve">Manufacturing (Direct Operations, e.g. minor fuel)</w:t>
            </w:r>
          </w:p>
        </w:tc>
        <w:tc>
          <w:tcPr/>
          <w:p>
            <w:pPr>
              <w:pStyle w:val="Compact"/>
              <w:jc w:val="left"/>
            </w:pPr>
            <w:r>
              <w:t xml:space="preserve">Scope 1 (Direct Emissions)</w:t>
            </w:r>
          </w:p>
        </w:tc>
        <w:tc>
          <w:tcPr/>
          <w:p>
            <w:pPr>
              <w:pStyle w:val="Compact"/>
              <w:jc w:val="left"/>
            </w:pPr>
            <w:r>
              <w:t xml:space="preserve">0.05</w:t>
            </w:r>
          </w:p>
        </w:tc>
        <w:tc>
          <w:tcPr/>
          <w:p>
            <w:pPr>
              <w:pStyle w:val="Compact"/>
              <w:jc w:val="left"/>
            </w:pPr>
            <w:r>
              <w:t xml:space="preserve">0.24%</w:t>
            </w:r>
          </w:p>
        </w:tc>
        <w:tc>
          <w:tcPr/>
          <w:p>
            <w:pPr>
              <w:pStyle w:val="Compact"/>
            </w:pP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2.74</w:t>
            </w:r>
          </w:p>
        </w:tc>
        <w:tc>
          <w:tcPr/>
          <w:p>
            <w:pPr>
              <w:pStyle w:val="Compact"/>
              <w:jc w:val="left"/>
            </w:pPr>
            <w:r>
              <w:t xml:space="preserve">13.04%</w:t>
            </w:r>
          </w:p>
        </w:tc>
        <w:tc>
          <w:tcPr/>
          <w:p>
            <w:pPr>
              <w:pStyle w:val="Compact"/>
            </w:pPr>
          </w:p>
        </w:tc>
      </w:tr>
      <w:tr>
        <w:tc>
          <w:tcPr/>
          <w:p>
            <w:pPr>
              <w:pStyle w:val="Compact"/>
              <w:jc w:val="left"/>
            </w:pPr>
            <w:r>
              <w:t xml:space="preserve">End-of-Life Treatment</w:t>
            </w:r>
          </w:p>
        </w:tc>
        <w:tc>
          <w:tcPr/>
          <w:p>
            <w:pPr>
              <w:pStyle w:val="Compact"/>
              <w:jc w:val="left"/>
            </w:pPr>
            <w:r>
              <w:t xml:space="preserve">Scope 3 (Category 12: End-of-Life Treatment of Sold Products)</w:t>
            </w:r>
          </w:p>
        </w:tc>
        <w:tc>
          <w:tcPr/>
          <w:p>
            <w:pPr>
              <w:pStyle w:val="Compact"/>
              <w:jc w:val="left"/>
            </w:pPr>
            <w:r>
              <w:t xml:space="preserve">-0.285 (Credit)</w:t>
            </w:r>
          </w:p>
        </w:tc>
        <w:tc>
          <w:tcPr/>
          <w:p>
            <w:pPr>
              <w:pStyle w:val="Compact"/>
              <w:jc w:val="left"/>
            </w:pPr>
            <w:r>
              <w:t xml:space="preserve">-1.36%</w:t>
            </w:r>
          </w:p>
        </w:tc>
        <w:tc>
          <w:tcPr/>
          <w:p>
            <w:pPr>
              <w:pStyle w:val="Compact"/>
            </w:pPr>
          </w:p>
        </w:tc>
      </w:tr>
      <w:tr>
        <w:tc>
          <w:tcPr>
            <w:gridSpan w:val="3"/>
          </w:tcPr>
          <w:p>
            <w:pPr>
              <w:pStyle w:val="Compact"/>
              <w:jc w:val="right"/>
            </w:pPr>
            <w:r>
              <w:t xml:space="preserve">Total Product Carbon Footprint:</w:t>
            </w:r>
          </w:p>
        </w:tc>
        <w:tc>
          <w:tcPr/>
          <w:p>
            <w:pPr>
              <w:pStyle w:val="Compact"/>
              <w:jc w:val="left"/>
            </w:pPr>
            <w:r>
              <w:rPr>
                <w:bCs/>
                <w:b/>
              </w:rPr>
              <w:t xml:space="preserve">21.005</w:t>
            </w:r>
          </w:p>
        </w:tc>
        <w:tc>
          <w:tcPr/>
          <w:p>
            <w:pPr>
              <w:pStyle w:val="Compact"/>
              <w:jc w:val="left"/>
            </w:pPr>
            <w:r>
              <w:rPr>
                <w:bCs/>
                <w:b/>
              </w:rPr>
              <w:t xml:space="preserve">100.00%</w:t>
            </w:r>
          </w:p>
        </w:tc>
      </w:tr>
    </w:tbl>
    <w:bookmarkEnd w:id="34"/>
    <w:bookmarkStart w:id="35" w:name="hotspots-and-reliability"/>
    <w:p>
      <w:pPr>
        <w:pStyle w:val="Heading3"/>
      </w:pPr>
      <w:r>
        <w:t xml:space="preserve">Hotspots and Reliability</w:t>
      </w:r>
    </w:p>
    <w:p>
      <w:pPr>
        <w:numPr>
          <w:ilvl w:val="0"/>
          <w:numId w:val="1006"/>
        </w:numPr>
        <w:pStyle w:val="Compact"/>
      </w:pPr>
      <w:r>
        <w:rPr>
          <w:bCs/>
          <w:b/>
        </w:rPr>
        <w:t xml:space="preserve">Materials (51.89%):</w:t>
      </w:r>
      <w:r>
        <w:t xml:space="preserve"> </w:t>
      </w:r>
      <w:r>
        <w:t xml:space="preserve">The raw material acquisition and pre-processing stage is the most significant hotspot, primarily driven by components like Lithium-ion batteries and aluminum casing. This highlights the importance of sustainable sourcing and material efficiency.</w:t>
      </w:r>
    </w:p>
    <w:p>
      <w:pPr>
        <w:numPr>
          <w:ilvl w:val="0"/>
          <w:numId w:val="1006"/>
        </w:numPr>
        <w:pStyle w:val="Compact"/>
      </w:pPr>
      <w:r>
        <w:rPr>
          <w:bCs/>
          <w:b/>
        </w:rPr>
        <w:t xml:space="preserve">Manufacturing Energy (30.00%):</w:t>
      </w:r>
      <w:r>
        <w:t xml:space="preserve"> </w:t>
      </w:r>
      <w:r>
        <w:t xml:space="preserve">Despite</w:t>
      </w:r>
      <w:r>
        <w:t xml:space="preserve"> </w:t>
      </w:r>
      <w:r>
        <w:rPr>
          <w:bCs/>
          <w:b/>
        </w:rPr>
        <w:t xml:space="preserve">ovdqxygjme</w:t>
      </w:r>
      <w:r>
        <w:t xml:space="preserve"> </w:t>
      </w:r>
      <w:r>
        <w:t xml:space="preserve">(30%) renewable energy usage, the remaining grid electricity from China (known for a carbon-intensive grid) contributes substantially. Increased renewable energy adoption at manufacturing facilities is a key area for improvement.</w:t>
      </w:r>
    </w:p>
    <w:p>
      <w:pPr>
        <w:numPr>
          <w:ilvl w:val="0"/>
          <w:numId w:val="1006"/>
        </w:numPr>
        <w:pStyle w:val="Compact"/>
      </w:pPr>
      <w:r>
        <w:rPr>
          <w:bCs/>
          <w:b/>
        </w:rPr>
        <w:t xml:space="preserve">Use Phase (13.04%):</w:t>
      </w:r>
      <w:r>
        <w:t xml:space="preserve"> </w:t>
      </w:r>
      <w:r>
        <w:t xml:space="preserve">The energy consumption during the product\'s</w:t>
      </w:r>
      <w:r>
        <w:t xml:space="preserve"> </w:t>
      </w:r>
      <w:r>
        <w:rPr>
          <w:bCs/>
          <w:b/>
        </w:rPr>
        <w:t xml:space="preserve">ylgjwhzlvv</w:t>
      </w:r>
      <w:r>
        <w:t xml:space="preserve"> </w:t>
      </w:r>
      <w:r>
        <w:t xml:space="preserve">(3 years) lifespan, consuming</w:t>
      </w:r>
      <w:r>
        <w:t xml:space="preserve"> </w:t>
      </w:r>
      <w:r>
        <w:rPr>
          <w:bCs/>
          <w:b/>
        </w:rPr>
        <w:t xml:space="preserve">xnpyeyzour</w:t>
      </w:r>
      <w:r>
        <w:t xml:space="preserve"> </w:t>
      </w:r>
      <w:r>
        <w:t xml:space="preserve">(10 Wh/day), is a notable contributor. Designing for energy efficiency in the product\'s operation is critical.</w:t>
      </w:r>
    </w:p>
    <w:p>
      <w:pPr>
        <w:numPr>
          <w:ilvl w:val="0"/>
          <w:numId w:val="1006"/>
        </w:numPr>
        <w:pStyle w:val="Compact"/>
      </w:pPr>
      <w:r>
        <w:rPr>
          <w:bCs/>
          <w:b/>
        </w:rPr>
        <w:t xml:space="preserve">Data Reliability:</w:t>
      </w:r>
      <w:r>
        <w:t xml:space="preserve"> </w:t>
      </w:r>
      <w:r>
        <w:t xml:space="preserve">The analysis relies on primary data where available (BOM, energy usage, logistics parameters) and robust secondary industry average emission factors from databases like Ecoinvent and IEA. The parameters provided (kekfzxqr, Select Mode, ktflikeqgl, Delivery Type, ovdqxygjme, womgjprviu, ylgjwhzlvv, xnpyeyzour, uwqntvylqk, msikvftjfr) have been directly incorporated to enhance accuracy. The GHG Protocol is working towards more granular reporting with disaggregation by data type, and disclosure of verification status in future updates.</w:t>
      </w:r>
    </w:p>
    <w:p>
      <w:r>
        <w:pict>
          <v:rect style="width:0;height:1.5pt" o:hralign="center" o:hrstd="t" o:hr="t"/>
        </w:pict>
      </w:r>
    </w:p>
    <w:bookmarkEnd w:id="35"/>
    <w:bookmarkEnd w:id="36"/>
    <w:bookmarkStart w:id="37" w:name="conclusion-and-recommendations"/>
    <w:p>
      <w:pPr>
        <w:pStyle w:val="Heading2"/>
      </w:pPr>
      <w:r>
        <w:t xml:space="preserve">Conclusion and Recommendations</w:t>
      </w:r>
    </w:p>
    <w:p>
      <w:pPr>
        <w:pStyle w:val="FirstParagraph"/>
      </w:pPr>
      <w:r>
        <w:t xml:space="preserve">The Product Carbon Footprint for pilijykkmk stands at 21.005 kg CO2e per unit. To significantly reduce this footprint, ofexivlfmw should focus on the following strategic areas:</w:t>
      </w:r>
    </w:p>
    <w:p>
      <w:pPr>
        <w:numPr>
          <w:ilvl w:val="0"/>
          <w:numId w:val="1007"/>
        </w:numPr>
        <w:pStyle w:val="Compact"/>
      </w:pPr>
      <w:r>
        <w:rPr>
          <w:bCs/>
          <w:b/>
        </w:rPr>
        <w:t xml:space="preserve">Sustainable Material Sourcing:</w:t>
      </w:r>
      <w:r>
        <w:t xml:space="preserve"> </w:t>
      </w:r>
      <w:r>
        <w:t xml:space="preserve">Prioritize materials with lower embodied carbon, explore recycled content options (beyond</w:t>
      </w:r>
      <w:r>
        <w:t xml:space="preserve"> </w:t>
      </w:r>
      <w:r>
        <w:rPr>
          <w:bCs/>
          <w:b/>
        </w:rPr>
        <w:t xml:space="preserve">uwqntvylqk</w:t>
      </w:r>
      <w:r>
        <w:t xml:space="preserve"> </w:t>
      </w:r>
      <w:r>
        <w:t xml:space="preserve">percentage for input materials), and collaborate with suppliers to improve upstream processes.</w:t>
      </w:r>
    </w:p>
    <w:p>
      <w:pPr>
        <w:numPr>
          <w:ilvl w:val="0"/>
          <w:numId w:val="1007"/>
        </w:numPr>
        <w:pStyle w:val="Compact"/>
      </w:pPr>
      <w:r>
        <w:rPr>
          <w:bCs/>
          <w:b/>
        </w:rPr>
        <w:t xml:space="preserve">Renewable Energy Transition:</w:t>
      </w:r>
      <w:r>
        <w:t xml:space="preserve"> </w:t>
      </w:r>
      <w:r>
        <w:t xml:space="preserve">Increase the percentage of renewable energy usage at manufacturing sites beyond</w:t>
      </w:r>
      <w:r>
        <w:t xml:space="preserve"> </w:t>
      </w:r>
      <w:r>
        <w:rPr>
          <w:bCs/>
          <w:b/>
        </w:rPr>
        <w:t xml:space="preserve">ovdqxygjme</w:t>
      </w:r>
      <w:r>
        <w:t xml:space="preserve"> </w:t>
      </w:r>
      <w:r>
        <w:t xml:space="preserve">(30%) to reduce Scope 2 emissions, particularly in regions with high-carbon grids like China.</w:t>
      </w:r>
    </w:p>
    <w:p>
      <w:pPr>
        <w:numPr>
          <w:ilvl w:val="0"/>
          <w:numId w:val="1007"/>
        </w:numPr>
        <w:pStyle w:val="Compact"/>
      </w:pPr>
      <w:r>
        <w:rPr>
          <w:bCs/>
          <w:b/>
        </w:rPr>
        <w:t xml:space="preserve">Product Design for Energy Efficiency:</w:t>
      </w:r>
      <w:r>
        <w:t xml:space="preserve"> </w:t>
      </w:r>
      <w:r>
        <w:t xml:space="preserve">Optimize product design to reduce</w:t>
      </w:r>
      <w:r>
        <w:t xml:space="preserve"> </w:t>
      </w:r>
      <w:r>
        <w:rPr>
          <w:bCs/>
          <w:b/>
        </w:rPr>
        <w:t xml:space="preserve">xnpyeyzour</w:t>
      </w:r>
      <w:r>
        <w:t xml:space="preserve"> </w:t>
      </w:r>
      <w:r>
        <w:t xml:space="preserve">(10 Wh/day) energy consumption during the</w:t>
      </w:r>
      <w:r>
        <w:t xml:space="preserve"> </w:t>
      </w:r>
      <w:r>
        <w:rPr>
          <w:bCs/>
          <w:b/>
        </w:rPr>
        <w:t xml:space="preserve">ylgjwhzlvv</w:t>
      </w:r>
      <w:r>
        <w:t xml:space="preserve"> </w:t>
      </w:r>
      <w:r>
        <w:t xml:space="preserve">(3 years) use phase.</w:t>
      </w:r>
    </w:p>
    <w:p>
      <w:pPr>
        <w:numPr>
          <w:ilvl w:val="0"/>
          <w:numId w:val="1007"/>
        </w:numPr>
        <w:pStyle w:val="Compact"/>
      </w:pPr>
      <w:r>
        <w:rPr>
          <w:bCs/>
          <w:b/>
        </w:rPr>
        <w:t xml:space="preserve">Enhance Circularity:</w:t>
      </w:r>
      <w:r>
        <w:t xml:space="preserve"> </w:t>
      </w:r>
      <w:r>
        <w:t xml:space="preserve">Further develop and promote</w:t>
      </w:r>
      <w:r>
        <w:t xml:space="preserve"> </w:t>
      </w:r>
      <w:r>
        <w:rPr>
          <w:bCs/>
          <w:b/>
        </w:rPr>
        <w:t xml:space="preserve">msikvftjfr</w:t>
      </w:r>
      <w:r>
        <w:t xml:space="preserve"> </w:t>
      </w:r>
      <w:r>
        <w:t xml:space="preserve">(existing circular/take-back programs) to maximize the recycling and reuse of components, thus increasing end-of-life credits and reducing virgin material demand. Target a higher actual recycling rate than the current</w:t>
      </w:r>
      <w:r>
        <w:t xml:space="preserve"> </w:t>
      </w:r>
      <w:r>
        <w:rPr>
          <w:bCs/>
          <w:b/>
        </w:rPr>
        <w:t xml:space="preserve">uwqntvylqk</w:t>
      </w:r>
      <w:r>
        <w:t xml:space="preserve"> </w:t>
      </w:r>
      <w:r>
        <w:t xml:space="preserve">(70%) by addressing collection and processing infrastructure.</w:t>
      </w:r>
    </w:p>
    <w:p>
      <w:pPr>
        <w:numPr>
          <w:ilvl w:val="0"/>
          <w:numId w:val="1007"/>
        </w:numPr>
        <w:pStyle w:val="Compact"/>
      </w:pPr>
      <w:r>
        <w:rPr>
          <w:bCs/>
          <w:b/>
        </w:rPr>
        <w:t xml:space="preserve">Logistics Optimization:</w:t>
      </w:r>
      <w:r>
        <w:t xml:space="preserve"> </w:t>
      </w:r>
      <w:r>
        <w:t xml:space="preserve">Investigate opportunities to optimize transport modes and routes, especially for long-distance hauls from China and within the Europe-focused supply chain, to reduce emissions from</w:t>
      </w:r>
      <w:r>
        <w:t xml:space="preserve"> </w:t>
      </w:r>
      <w:r>
        <w:rPr>
          <w:bCs/>
          <w:b/>
        </w:rPr>
        <w:t xml:space="preserve">Select Mode</w:t>
      </w:r>
      <w:r>
        <w:t xml:space="preserve"> </w:t>
      </w:r>
      <w:r>
        <w:t xml:space="preserve">and</w:t>
      </w:r>
      <w:r>
        <w:t xml:space="preserve"> </w:t>
      </w:r>
      <w:r>
        <w:rPr>
          <w:bCs/>
          <w:b/>
        </w:rPr>
        <w:t xml:space="preserve">Delivery Type</w:t>
      </w:r>
      <w:r>
        <w:t xml:space="preserve"> </w:t>
      </w:r>
      <w:r>
        <w:t xml:space="preserve">over</w:t>
      </w:r>
      <w:r>
        <w:t xml:space="preserve"> </w:t>
      </w:r>
      <w:r>
        <w:rPr>
          <w:bCs/>
          <w:b/>
        </w:rPr>
        <w:t xml:space="preserve">ktflikeqgl</w:t>
      </w:r>
      <w:r>
        <w:t xml:space="preserve"> </w:t>
      </w:r>
      <w:r>
        <w:t xml:space="preserve">distances.</w:t>
      </w:r>
    </w:p>
    <w:p>
      <w:pPr>
        <w:pStyle w:val="FirstParagraph"/>
      </w:pPr>
      <w:r>
        <w:t xml:space="preserve">By strategically addressing these hotspots, ofexivlfmw can demonstrably reduce the environmental impact of pilijykkmk and contribute to broader sustainability goals.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pilijykkmk</dc:title>
  <dc:creator/>
  <dc:description>High-detail Product Carbon Footprint (PCF) analysis for pilijykkmk, conducted by vjuflvmqls of carboncalcpcf.com, adhering to GHG Protocol and 2026 LSR Update requirements.</dc:description>
  <dc:language>en</dc:language>
  <cp:keywords/>
  <dcterms:created xsi:type="dcterms:W3CDTF">2026-07-14T23:51:48Z</dcterms:created>
  <dcterms:modified xsi:type="dcterms:W3CDTF">2026-07-14T23:51:48Z</dcterms:modified>
</cp:coreProperties>
</file>

<file path=docProps/custom.xml><?xml version="1.0" encoding="utf-8"?>
<Properties xmlns="http://schemas.openxmlformats.org/officeDocument/2006/custom-properties" xmlns:vt="http://schemas.openxmlformats.org/officeDocument/2006/docPropsVTypes"/>
</file>