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pgiiyqqsuh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pgiiyqqsuh</w:t>
      </w:r>
    </w:p>
    <w:p>
      <w:pPr>
        <w:pStyle w:val="BodyText"/>
      </w:pPr>
      <w:r>
        <w:rPr>
          <w:bCs/>
          <w:b/>
        </w:rPr>
        <w:t xml:space="preserve">Company Name:</w:t>
      </w:r>
      <w:r>
        <w:t xml:space="preserve"> </w:t>
      </w:r>
      <w:r>
        <w:t xml:space="preserve">surlhtfheh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iqovvxqfsz</w:t>
      </w:r>
    </w:p>
    <w:p>
      <w:pPr>
        <w:pStyle w:val="BodyText"/>
      </w:pPr>
      <w:r>
        <w:t xml:space="preserve">Generated Date: May 22, 2026</w:t>
      </w:r>
    </w:p>
    <w:p>
      <w:pPr>
        <w:pStyle w:val="BodyText"/>
      </w:pPr>
      <w:r>
        <w:t xml:space="preserve">This report is generated based on available data and industry standards. While efforts have been made to ensure accuracy, the actual environmental impact may vary based on real-world conditions and more granular data inputs.</w:t>
      </w:r>
    </w:p>
    <w:bookmarkEnd w:id="20"/>
    <w:bookmarkStart w:id="45" w:name="X6c18d52a194e60d572e74ea3b3835bfe2eb468d"/>
    <w:p>
      <w:pPr>
        <w:pStyle w:val="Heading1"/>
      </w:pPr>
      <w:r>
        <w:t xml:space="preserve">Product Carbon Footprint (PCF) Analysis Report: pgiiyqqsuh</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iqovvxqfsz</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\'pgiiyqqsuh\' manufactured by \'surlhtfheh\'. The analysis adheres strictly to the GHG Protocol accounting standard, incorporating the 2026 Land Sector and Removals (LSR) update and aiming for at least 95% Scope 3 coverage. The primary objective is to quantify the greenhouse gas (GHG) emissions associated with the product\'s entire lifecycle, from raw material extraction to end-of-life, identify emission hotspots, and provide actionable insights for sustainability improvements.</w:t>
      </w:r>
    </w:p>
    <w:p>
      <w:pPr>
        <w:pStyle w:val="BodyText"/>
      </w:pPr>
      <w:r>
        <w:t xml:space="preserve">The PCF calculation considers material inputs based on the provided Bill of Materials (BOM) data (vehremuk), manufacturing energy consumption, transportation logistics (Select Mode, xdowpkqwou, Delivery Type), product use phase (hlrihonupy, kqfjpsgqji), and end-of-life scenarios (yiqodqkrts, vqmzmkwljg). Due to the parameterized nature of certain inputs, illustrative numerical values have been utilized for calculation demonstrations while explicitly citing the provided parameters.</w:t>
      </w:r>
    </w:p>
    <w:p>
      <w:r>
        <w:pict>
          <v:rect style="width:0;height:1.5pt" o:hralign="center" o:hrstd="t" o:hr="t"/>
        </w:pict>
      </w:r>
    </w:p>
    <w:bookmarkEnd w:id="21"/>
    <w:bookmarkStart w:id="29" w:name="methodology"/>
    <w:p>
      <w:pPr>
        <w:pStyle w:val="Heading2"/>
      </w:pPr>
      <w:r>
        <w:t xml:space="preserve">Methodology</w:t>
      </w:r>
    </w:p>
    <w:p>
      <w:pPr>
        <w:pStyle w:val="FirstParagraph"/>
      </w:pPr>
      <w:r>
        <w:t xml:space="preserve">The Product Carbon Footprint analysis for pgiiyqqsuh follows a structured, five-step approach compliant with the GHG Protocol Product Standard:</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pgiiyqqsuh. This serves as the reference basis for quantifying all inputs and outputs.</w:t>
      </w:r>
    </w:p>
    <w:p>
      <w:pPr>
        <w:numPr>
          <w:ilvl w:val="0"/>
          <w:numId w:val="1001"/>
        </w:numPr>
        <w:pStyle w:val="Compact"/>
      </w:pPr>
      <w:r>
        <w:rPr>
          <w:bCs/>
          <w:b/>
        </w:rPr>
        <w:t xml:space="preserve">System Boundary:</w:t>
      </w:r>
      <w:r>
        <w:t xml:space="preserve"> </w:t>
      </w:r>
      <w:r>
        <w:t xml:space="preserve">factory_gate. This "cradle-to-gate" assessment focuses on emissions from raw material acquisition, manufacturing, and transport to the factory gate. For a comprehensive PCF, additional downstream stages (transport to customer, use phase, end-of-life) are also included, extending the system boundary beyond the strict "factory_gate" definition to cover a full "cradle-to-grave" analysis as per the user\'s request for use and EoL phases.</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recognizing the broader implications of global supply chains.</w:t>
      </w:r>
    </w:p>
    <w:p>
      <w:pPr>
        <w:numPr>
          <w:ilvl w:val="0"/>
          <w:numId w:val="1001"/>
        </w:numPr>
        <w:pStyle w:val="Compact"/>
      </w:pPr>
      <w:r>
        <w:rPr>
          <w:bCs/>
          <w:b/>
        </w:rPr>
        <w:t xml:space="preserve">Accounting Standard:</w:t>
      </w:r>
      <w:r>
        <w:t xml:space="preserve"> </w:t>
      </w:r>
      <w:r>
        <w:t xml:space="preserve">GHG Protocol. This report strictly adheres to the GHG Protocol Product Life Cycle Accounting and Reporting Standard.</w:t>
      </w:r>
    </w:p>
    <w:p>
      <w:pPr>
        <w:numPr>
          <w:ilvl w:val="0"/>
          <w:numId w:val="1001"/>
        </w:numPr>
        <w:pStyle w:val="Compact"/>
      </w:pPr>
      <w:r>
        <w:rPr>
          <w:bCs/>
          <w:b/>
        </w:rPr>
        <w:t xml:space="preserve">Allocation:</w:t>
      </w:r>
      <w:r>
        <w:t xml:space="preserve"> </w:t>
      </w:r>
      <w:r>
        <w:t xml:space="preserve">Where co-products or recycling are involved, mass-based allocation or avoided burden approach (for end-of-life) will be applied in accordance with GHG Protocol guidelines.</w:t>
      </w:r>
    </w:p>
    <w:bookmarkEnd w:id="22"/>
    <w:bookmarkStart w:id="28" w:name="X668a29dea6996859d52024a913312988ccfa3c9"/>
    <w:p>
      <w:pPr>
        <w:pStyle w:val="Heading3"/>
      </w:pPr>
      <w:r>
        <w:t xml:space="preserve">2. Map Lifecycle (LCI Inventory Stages) &amp; 3. Collect Data</w:t>
      </w:r>
    </w:p>
    <w:p>
      <w:pPr>
        <w:pStyle w:val="FirstParagraph"/>
      </w:pPr>
      <w:r>
        <w:t xml:space="preserve">The lifecycle of pgiiyqqsuh is mapped across key stages, with data collected from various sources. Due to the placeholder nature of some input parameters, illustrative data has been used for quantitative demonstrations.</w:t>
      </w:r>
    </w:p>
    <w:bookmarkStart w:id="23" w:name="material-inputs-bill-of-materials---bom"/>
    <w:p>
      <w:pPr>
        <w:pStyle w:val="Heading4"/>
      </w:pPr>
      <w:r>
        <w:t xml:space="preserve">Material Inputs (Bill of Materials - BOM)</w:t>
      </w:r>
    </w:p>
    <w:p>
      <w:pPr>
        <w:pStyle w:val="FirstParagraph"/>
      </w:pPr>
      <w:r>
        <w:t xml:space="preserve">The detailed Bill of Materials (BOM) for pgiiyqqsuh is represented by the parameter:</w:t>
      </w:r>
      <w:r>
        <w:t xml:space="preserve"> </w:t>
      </w:r>
      <w:r>
        <w:rPr>
          <w:bCs/>
          <w:b/>
        </w:rPr>
        <w:t xml:space="preserve">vehremuk</w:t>
      </w:r>
      <w:r>
        <w:t xml:space="preserve">. For this analysis, we will use an illustrative BOM structure to demonstrate the calculation methodology, incorporating industry-standard emission factors. Please note that for precise calculations, the actual numerical data referenced by \'vehremuk\' would be required.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Illustrative 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7.50</w:t>
            </w:r>
          </w:p>
        </w:tc>
        <w:tc>
          <w:tcPr/>
          <w:p>
            <w:pPr>
              <w:pStyle w:val="Compact"/>
              <w:jc w:val="left"/>
            </w:pPr>
            <w:r>
              <w:t xml:space="preserve">3.75</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Pulp &amp; Paper Mfg.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0.12</w:t>
            </w:r>
          </w:p>
        </w:tc>
      </w:tr>
    </w:tbl>
    <w:p>
      <w:pPr>
        <w:pStyle w:val="BodyText"/>
      </w:pPr>
      <w:r>
        <w:rPr>
          <w:iCs/>
          <w:i/>
        </w:rPr>
        <w:t xml:space="preserve">Note: The "Illustrative Emission Factor" and "Illustrative Total Carbon" values are provided for methodology demonstration, as the detailed numerical content of the \'vehremuk\' BOM was not supplied.</w:t>
      </w:r>
    </w:p>
    <w:bookmarkEnd w:id="23"/>
    <w:bookmarkStart w:id="24" w:name="energy-inputs-production-phase"/>
    <w:p>
      <w:pPr>
        <w:pStyle w:val="Heading4"/>
      </w:pPr>
      <w:r>
        <w:t xml:space="preserve">Energy Inputs (Production Phase)</w:t>
      </w:r>
    </w:p>
    <w:p>
      <w:pPr>
        <w:numPr>
          <w:ilvl w:val="0"/>
          <w:numId w:val="1002"/>
        </w:numPr>
        <w:pStyle w:val="Compact"/>
      </w:pPr>
      <w:r>
        <w:rPr>
          <w:bCs/>
          <w:b/>
        </w:rPr>
        <w:t xml:space="preserve">Renewable Energy Usage:</w:t>
      </w:r>
      <w:r>
        <w:t xml:space="preserve"> </w:t>
      </w:r>
      <w:r>
        <w:t xml:space="preserve">The company reports a renewable energy usage percentage of</w:t>
      </w:r>
      <w:r>
        <w:t xml:space="preserve"> </w:t>
      </w:r>
      <w:r>
        <w:rPr>
          <w:bCs/>
          <w:b/>
        </w:rPr>
        <w:t xml:space="preserve">sdqrwhdupm</w:t>
      </w:r>
      <w:r>
        <w:t xml:space="preserve">. For illustrative calculations, we will assume 50% renewable energy usage, impacting the grid electricity factor.</w:t>
      </w:r>
    </w:p>
    <w:p>
      <w:pPr>
        <w:numPr>
          <w:ilvl w:val="0"/>
          <w:numId w:val="1002"/>
        </w:numPr>
        <w:pStyle w:val="Compact"/>
      </w:pPr>
      <w:r>
        <w:rPr>
          <w:bCs/>
          <w:b/>
        </w:rPr>
        <w:t xml:space="preserve">Energy Intensity (kWh/unit):</w:t>
      </w:r>
      <w:r>
        <w:t xml:space="preserve"> </w:t>
      </w:r>
      <w:r>
        <w:t xml:space="preserve">The production phase energy intensity is</w:t>
      </w:r>
      <w:r>
        <w:t xml:space="preserve"> </w:t>
      </w:r>
      <w:r>
        <w:rPr>
          <w:bCs/>
          <w:b/>
        </w:rPr>
        <w:t xml:space="preserve">uvoohtdftp</w:t>
      </w:r>
      <w:r>
        <w:t xml:space="preserve">. For illustrative calculations, we will use 10 kWh/unit.</w:t>
      </w:r>
    </w:p>
    <w:p>
      <w:pPr>
        <w:numPr>
          <w:ilvl w:val="0"/>
          <w:numId w:val="1002"/>
        </w:numPr>
        <w:pStyle w:val="Compact"/>
      </w:pPr>
      <w:r>
        <w:rPr>
          <w:bCs/>
          <w:b/>
        </w:rPr>
        <w:t xml:space="preserve">Illustrative Electricity Grid Mix (China):</w:t>
      </w:r>
      <w:r>
        <w:t xml:space="preserve"> </w:t>
      </w:r>
      <w:r>
        <w:t xml:space="preserve">Based on general industry data, an illustrative emission factor for grid electricity in China is approximately 0.7 kg CO2e/kWh. Adjusting for 50% renewable usage (assuming zero emissions for renewables), the effective grid emission factor for the portion of non-renewable energy would be 0.7 kg CO2e/kWh * 0.5 = 0.35 kg CO2e/kWh for the total energy consumed.</w:t>
      </w:r>
    </w:p>
    <w:bookmarkEnd w:id="24"/>
    <w:bookmarkStart w:id="25" w:name="transport-logistics"/>
    <w:p>
      <w:pPr>
        <w:pStyle w:val="Heading4"/>
      </w:pPr>
      <w:r>
        <w:t xml:space="preserve">Transport Logistics</w:t>
      </w:r>
    </w:p>
    <w:p>
      <w:pPr>
        <w:numPr>
          <w:ilvl w:val="0"/>
          <w:numId w:val="1003"/>
        </w:numPr>
        <w:pStyle w:val="Compact"/>
      </w:pPr>
      <w:r>
        <w:rPr>
          <w:bCs/>
          <w:b/>
        </w:rPr>
        <w:t xml:space="preserve">Transport Mode:</w:t>
      </w:r>
      <w:r>
        <w:t xml:space="preserve"> </w:t>
      </w:r>
      <w:r>
        <w:t xml:space="preserve">The specified mode is</w:t>
      </w:r>
      <w:r>
        <w:t xml:space="preserve"> </w:t>
      </w:r>
      <w:r>
        <w:rPr>
          <w:bCs/>
          <w:b/>
        </w:rPr>
        <w:t xml:space="preserve">Select Mode</w:t>
      </w:r>
      <w:r>
        <w:t xml:space="preserve">. For calculation, we will assume \'Ocean Freight\' for primary transport and \'Road (Heavy Goods Vehicle)\' for local distribution.</w:t>
      </w:r>
    </w:p>
    <w:p>
      <w:pPr>
        <w:numPr>
          <w:ilvl w:val="0"/>
          <w:numId w:val="1003"/>
        </w:numPr>
        <w:pStyle w:val="Compact"/>
      </w:pPr>
      <w:r>
        <w:rPr>
          <w:bCs/>
          <w:b/>
        </w:rPr>
        <w:t xml:space="preserve">Transport Distance:</w:t>
      </w:r>
      <w:r>
        <w:t xml:space="preserve"> </w:t>
      </w:r>
      <w:r>
        <w:t xml:space="preserve">The specified distance is</w:t>
      </w:r>
      <w:r>
        <w:t xml:space="preserve"> </w:t>
      </w:r>
      <w:r>
        <w:rPr>
          <w:bCs/>
          <w:b/>
        </w:rPr>
        <w:t xml:space="preserve">xdowpkqwou</w:t>
      </w:r>
      <w:r>
        <w:t xml:space="preserve">. For calculation, we will assume 10,000 km for international transport and 500 km for local distribution.</w:t>
      </w:r>
    </w:p>
    <w:p>
      <w:pPr>
        <w:numPr>
          <w:ilvl w:val="0"/>
          <w:numId w:val="1003"/>
        </w:numPr>
        <w:pStyle w:val="Compact"/>
      </w:pPr>
      <w:r>
        <w:rPr>
          <w:bCs/>
          <w:b/>
        </w:rPr>
        <w:t xml:space="preserve">Last-Mile Delivery Channel:</w:t>
      </w:r>
      <w:r>
        <w:t xml:space="preserve"> </w:t>
      </w:r>
      <w:r>
        <w:t xml:space="preserve">The specified delivery type is</w:t>
      </w:r>
      <w:r>
        <w:t xml:space="preserve"> </w:t>
      </w:r>
      <w:r>
        <w:rPr>
          <w:bCs/>
          <w:b/>
        </w:rPr>
        <w:t xml:space="preserve">Delivery Type</w:t>
      </w:r>
      <w:r>
        <w:t xml:space="preserve">. For calculation, we will assume \'Road (Light Commercial Vehicle/Van)\'.</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Stage</w:t>
            </w:r>
          </w:p>
        </w:tc>
        <w:tc>
          <w:tcPr/>
          <w:p>
            <w:pPr>
              <w:pStyle w:val="Compact"/>
              <w:jc w:val="left"/>
            </w:pPr>
            <w:r>
              <w:t xml:space="preserve">Mode (Illustrative)</w:t>
            </w:r>
          </w:p>
        </w:tc>
        <w:tc>
          <w:tcPr/>
          <w:p>
            <w:pPr>
              <w:pStyle w:val="Compact"/>
              <w:jc w:val="left"/>
            </w:pPr>
            <w:r>
              <w:t xml:space="preserve">Distance (Illustrative)</w:t>
            </w:r>
          </w:p>
        </w:tc>
        <w:tc>
          <w:tcPr/>
          <w:p>
            <w:pPr>
              <w:pStyle w:val="Compact"/>
              <w:jc w:val="left"/>
            </w:pPr>
            <w:r>
              <w:t xml:space="preserve">Illustrative Emission Factor (kg CO2e/tonne-km)</w:t>
            </w:r>
          </w:p>
        </w:tc>
        <w:tc>
          <w:tcPr/>
          <w:p>
            <w:pPr>
              <w:pStyle w:val="Compact"/>
              <w:jc w:val="left"/>
            </w:pPr>
            <w:r>
              <w:t xml:space="preserve">Illustrative GHG Emissions (kg CO2e)</w:t>
            </w:r>
          </w:p>
        </w:tc>
      </w:tr>
      <w:tr>
        <w:tc>
          <w:tcPr/>
          <w:p>
            <w:pPr>
              <w:pStyle w:val="Compact"/>
              <w:jc w:val="left"/>
            </w:pPr>
            <w:r>
              <w:t xml:space="preserve">Raw Material Sourcing (Europe to China)</w:t>
            </w:r>
          </w:p>
        </w:tc>
        <w:tc>
          <w:tcPr/>
          <w:p>
            <w:pPr>
              <w:pStyle w:val="Compact"/>
              <w:jc w:val="left"/>
            </w:pPr>
            <w:r>
              <w:t xml:space="preserve">Ocean Freight</w:t>
            </w:r>
          </w:p>
        </w:tc>
        <w:tc>
          <w:tcPr/>
          <w:p>
            <w:pPr>
              <w:pStyle w:val="Compact"/>
              <w:jc w:val="left"/>
            </w:pPr>
            <w:r>
              <w:t xml:space="preserve">10,000 km</w:t>
            </w:r>
          </w:p>
        </w:tc>
        <w:tc>
          <w:tcPr/>
          <w:p>
            <w:pPr>
              <w:pStyle w:val="Compact"/>
              <w:jc w:val="left"/>
            </w:pPr>
            <w:r>
              <w:t xml:space="preserve">0.010</w:t>
            </w:r>
          </w:p>
        </w:tc>
        <w:tc>
          <w:tcPr/>
          <w:p>
            <w:pPr>
              <w:pStyle w:val="Compact"/>
              <w:jc w:val="left"/>
            </w:pPr>
            <w:r>
              <w:t xml:space="preserve">(assuming 1 tonne of materials) 100.00</w:t>
            </w:r>
          </w:p>
        </w:tc>
      </w:tr>
      <w:tr>
        <w:tc>
          <w:tcPr/>
          <w:p>
            <w:pPr>
              <w:pStyle w:val="Compact"/>
              <w:jc w:val="left"/>
            </w:pPr>
            <w:r>
              <w:t xml:space="preserve">Finished Product Distribution (China to Europe)</w:t>
            </w:r>
          </w:p>
        </w:tc>
        <w:tc>
          <w:tcPr/>
          <w:p>
            <w:pPr>
              <w:pStyle w:val="Compact"/>
              <w:jc w:val="left"/>
            </w:pPr>
            <w:r>
              <w:t xml:space="preserve">Ocean Freight</w:t>
            </w:r>
          </w:p>
        </w:tc>
        <w:tc>
          <w:tcPr/>
          <w:p>
            <w:pPr>
              <w:pStyle w:val="Compact"/>
              <w:jc w:val="left"/>
            </w:pPr>
            <w:r>
              <w:t xml:space="preserve">10,000 km</w:t>
            </w:r>
          </w:p>
        </w:tc>
        <w:tc>
          <w:tcPr/>
          <w:p>
            <w:pPr>
              <w:pStyle w:val="Compact"/>
              <w:jc w:val="left"/>
            </w:pPr>
            <w:r>
              <w:t xml:space="preserve">0.010</w:t>
            </w:r>
          </w:p>
        </w:tc>
        <w:tc>
          <w:tcPr/>
          <w:p>
            <w:pPr>
              <w:pStyle w:val="Compact"/>
              <w:jc w:val="left"/>
            </w:pPr>
            <w:r>
              <w:t xml:space="preserve">(assuming 1 kg product) 0.10</w:t>
            </w:r>
          </w:p>
        </w:tc>
      </w:tr>
      <w:tr>
        <w:tc>
          <w:tcPr/>
          <w:p>
            <w:pPr>
              <w:pStyle w:val="Compact"/>
              <w:jc w:val="left"/>
            </w:pPr>
            <w:r>
              <w:t xml:space="preserve">Local Distribution (Europe)</w:t>
            </w:r>
          </w:p>
        </w:tc>
        <w:tc>
          <w:tcPr/>
          <w:p>
            <w:pPr>
              <w:pStyle w:val="Compact"/>
              <w:jc w:val="left"/>
            </w:pPr>
            <w:r>
              <w:t xml:space="preserve">Road (Heavy Goods Vehicle)</w:t>
            </w:r>
          </w:p>
        </w:tc>
        <w:tc>
          <w:tcPr/>
          <w:p>
            <w:pPr>
              <w:pStyle w:val="Compact"/>
              <w:jc w:val="left"/>
            </w:pPr>
            <w:r>
              <w:t xml:space="preserve">500 km</w:t>
            </w:r>
          </w:p>
        </w:tc>
        <w:tc>
          <w:tcPr/>
          <w:p>
            <w:pPr>
              <w:pStyle w:val="Compact"/>
              <w:jc w:val="left"/>
            </w:pPr>
            <w:r>
              <w:t xml:space="preserve">0.080</w:t>
            </w:r>
          </w:p>
        </w:tc>
        <w:tc>
          <w:tcPr/>
          <w:p>
            <w:pPr>
              <w:pStyle w:val="Compact"/>
              <w:jc w:val="left"/>
            </w:pPr>
            <w:r>
              <w:t xml:space="preserve">(assuming 1 kg product) 0.04</w:t>
            </w:r>
          </w:p>
        </w:tc>
      </w:tr>
      <w:tr>
        <w:tc>
          <w:tcPr/>
          <w:p>
            <w:pPr>
              <w:pStyle w:val="Compact"/>
              <w:jc w:val="left"/>
            </w:pPr>
            <w:r>
              <w:t xml:space="preserve">Last-Mile Delivery (Delivery Type)</w:t>
            </w:r>
          </w:p>
        </w:tc>
        <w:tc>
          <w:tcPr/>
          <w:p>
            <w:pPr>
              <w:pStyle w:val="Compact"/>
              <w:jc w:val="left"/>
            </w:pPr>
            <w:r>
              <w:t xml:space="preserve">Road (Light Commercial Vehicle)</w:t>
            </w:r>
          </w:p>
        </w:tc>
        <w:tc>
          <w:tcPr/>
          <w:p>
            <w:pPr>
              <w:pStyle w:val="Compact"/>
              <w:jc w:val="left"/>
            </w:pPr>
            <w:r>
              <w:t xml:space="preserve">50 km</w:t>
            </w:r>
          </w:p>
        </w:tc>
        <w:tc>
          <w:tcPr/>
          <w:p>
            <w:pPr>
              <w:pStyle w:val="Compact"/>
              <w:jc w:val="left"/>
            </w:pPr>
            <w:r>
              <w:t xml:space="preserve">0.150</w:t>
            </w:r>
          </w:p>
        </w:tc>
        <w:tc>
          <w:tcPr/>
          <w:p>
            <w:pPr>
              <w:pStyle w:val="Compact"/>
              <w:jc w:val="left"/>
            </w:pPr>
            <w:r>
              <w:t xml:space="preserve">(assuming 1 kg product) 0.0075</w:t>
            </w:r>
          </w:p>
        </w:tc>
      </w:tr>
    </w:tbl>
    <w:p>
      <w:pPr>
        <w:pStyle w:val="BodyText"/>
      </w:pPr>
      <w:r>
        <w:rPr>
          <w:iCs/>
          <w:i/>
        </w:rPr>
        <w:t xml:space="preserve">Note: Emission factors are illustrative and derived from general industry averages (e.g., DEFRA, Ecoinvent equivalents). Product weight assumed as 1 kg for distribution calculations.</w:t>
      </w:r>
    </w:p>
    <w:bookmarkEnd w:id="25"/>
    <w:bookmarkStart w:id="26" w:name="use-phase"/>
    <w:p>
      <w:pPr>
        <w:pStyle w:val="Heading4"/>
      </w:pPr>
      <w:r>
        <w:t xml:space="preserve">Use Phase</w:t>
      </w:r>
    </w:p>
    <w:p>
      <w:pPr>
        <w:numPr>
          <w:ilvl w:val="0"/>
          <w:numId w:val="1004"/>
        </w:numPr>
        <w:pStyle w:val="Compact"/>
      </w:pPr>
      <w:r>
        <w:rPr>
          <w:bCs/>
          <w:b/>
        </w:rPr>
        <w:t xml:space="preserve">Product Lifespan:</w:t>
      </w:r>
      <w:r>
        <w:t xml:space="preserve"> </w:t>
      </w:r>
      <w:r>
        <w:t xml:space="preserve">The specified lifespan is</w:t>
      </w:r>
      <w:r>
        <w:t xml:space="preserve"> </w:t>
      </w:r>
      <w:r>
        <w:rPr>
          <w:bCs/>
          <w:b/>
        </w:rPr>
        <w:t xml:space="preserve">hlrihonupy</w:t>
      </w:r>
      <w:r>
        <w:t xml:space="preserve">. For calculation, we will assume a 5-year lifespan.</w:t>
      </w:r>
    </w:p>
    <w:p>
      <w:pPr>
        <w:numPr>
          <w:ilvl w:val="0"/>
          <w:numId w:val="1004"/>
        </w:numPr>
        <w:pStyle w:val="Compact"/>
      </w:pPr>
      <w:r>
        <w:rPr>
          <w:bCs/>
          <w:b/>
        </w:rPr>
        <w:t xml:space="preserve">Energy Consumption in Use:</w:t>
      </w:r>
      <w:r>
        <w:t xml:space="preserve"> </w:t>
      </w:r>
      <w:r>
        <w:t xml:space="preserve">The specified energy consumption is</w:t>
      </w:r>
      <w:r>
        <w:t xml:space="preserve"> </w:t>
      </w:r>
      <w:r>
        <w:rPr>
          <w:bCs/>
          <w:b/>
        </w:rPr>
        <w:t xml:space="preserve">kqfjpsgqji</w:t>
      </w:r>
      <w:r>
        <w:t xml:space="preserve">. For calculation, we will assume 20 kWh/year.</w:t>
      </w:r>
    </w:p>
    <w:p>
      <w:pPr>
        <w:numPr>
          <w:ilvl w:val="0"/>
          <w:numId w:val="1004"/>
        </w:numPr>
        <w:pStyle w:val="Compact"/>
      </w:pPr>
      <w:r>
        <w:rPr>
          <w:bCs/>
          <w:b/>
        </w:rPr>
        <w:t xml:space="preserve">Illustrative Use Phase Electricity Mix (Europe):</w:t>
      </w:r>
      <w:r>
        <w:t xml:space="preserve"> </w:t>
      </w:r>
      <w:r>
        <w:t xml:space="preserve">An average European grid mix emission factor is approximately 0.25 kg CO2e/kWh.</w:t>
      </w:r>
    </w:p>
    <w:bookmarkEnd w:id="26"/>
    <w:bookmarkStart w:id="27" w:name="end-of-life-eol-scenarios"/>
    <w:p>
      <w:pPr>
        <w:pStyle w:val="Heading4"/>
      </w:pPr>
      <w:r>
        <w:t xml:space="preserve">End-of-Life (EoL) Scenarios</w:t>
      </w:r>
    </w:p>
    <w:p>
      <w:pPr>
        <w:numPr>
          <w:ilvl w:val="0"/>
          <w:numId w:val="1005"/>
        </w:numPr>
        <w:pStyle w:val="Compact"/>
      </w:pPr>
      <w:r>
        <w:rPr>
          <w:bCs/>
          <w:b/>
        </w:rPr>
        <w:t xml:space="preserve">Recyclability Percentage:</w:t>
      </w:r>
      <w:r>
        <w:t xml:space="preserve"> </w:t>
      </w:r>
      <w:r>
        <w:t xml:space="preserve">The specified percentage is</w:t>
      </w:r>
      <w:r>
        <w:t xml:space="preserve"> </w:t>
      </w:r>
      <w:r>
        <w:rPr>
          <w:bCs/>
          <w:b/>
        </w:rPr>
        <w:t xml:space="preserve">yiqodqkrts</w:t>
      </w:r>
      <w:r>
        <w:t xml:space="preserve">. For calculation, we will assume 70% recyclability.</w:t>
      </w:r>
    </w:p>
    <w:p>
      <w:pPr>
        <w:numPr>
          <w:ilvl w:val="0"/>
          <w:numId w:val="1005"/>
        </w:numPr>
        <w:pStyle w:val="Compact"/>
      </w:pPr>
      <w:r>
        <w:rPr>
          <w:bCs/>
          <w:b/>
        </w:rPr>
        <w:t xml:space="preserve">Circular/Take-back Programs:</w:t>
      </w:r>
      <w:r>
        <w:t xml:space="preserve"> </w:t>
      </w:r>
      <w:r>
        <w:t xml:space="preserve">The company indicates the presence of</w:t>
      </w:r>
      <w:r>
        <w:t xml:space="preserve"> </w:t>
      </w:r>
      <w:r>
        <w:rPr>
          <w:bCs/>
          <w:b/>
        </w:rPr>
        <w:t xml:space="preserve">vqmzmkwljg</w:t>
      </w:r>
      <w:r>
        <w:t xml:space="preserve"> </w:t>
      </w:r>
      <w:r>
        <w:t xml:space="preserve">programs. We will assume these are established and effective, reducing landfill impacts.</w:t>
      </w:r>
    </w:p>
    <w:p>
      <w:pPr>
        <w:numPr>
          <w:ilvl w:val="0"/>
          <w:numId w:val="1005"/>
        </w:numPr>
        <w:pStyle w:val="Compact"/>
      </w:pPr>
      <w:r>
        <w:rPr>
          <w:bCs/>
          <w:b/>
        </w:rPr>
        <w:t xml:space="preserve">Illustrative EoL Emissions:</w:t>
      </w:r>
      <w:r>
        <w:t xml:space="preserve"> </w:t>
      </w:r>
      <w:r>
        <w:t xml:space="preserve">For the 30% non-recycled material, landfilling emissions will be considered (e.g., 1.5 kg CO2e/kg for mixed waste to landfill). For the 70% recycled material, an avoided burden approach will be applied, crediting emissions savings from virgin material production.</w:t>
      </w:r>
    </w:p>
    <w:p>
      <w:r>
        <w:pict>
          <v:rect style="width:0;height:1.5pt" o:hralign="center" o:hrstd="t" o:hr="t"/>
        </w:pict>
      </w:r>
    </w:p>
    <w:bookmarkEnd w:id="27"/>
    <w:bookmarkEnd w:id="28"/>
    <w:bookmarkEnd w:id="29"/>
    <w:bookmarkStart w:id="40" w:name="Xb404f6bea4a0013006ec7a9103609d9ea6643c1"/>
    <w:p>
      <w:pPr>
        <w:pStyle w:val="Heading2"/>
      </w:pPr>
      <w:r>
        <w:t xml:space="preserve">4. Calculate Emissions (Activity * Emission Factor = CO2e)</w:t>
      </w:r>
    </w:p>
    <w:p>
      <w:pPr>
        <w:pStyle w:val="FirstParagraph"/>
      </w:pPr>
      <w:r>
        <w:t xml:space="preserve">This section details the calculation of GHG emissions across different lifecycle stages, categorized by Scope 1, 2, and 3 as per the GHG Protocol. All calculations for pgiiyqqsuh are illustrative, based on the assumed numerical values derived from the provided parameters.</w:t>
      </w:r>
    </w:p>
    <w:bookmarkStart w:id="30" w:name="scope-1-emissions-direct-emissions"/>
    <w:p>
      <w:pPr>
        <w:pStyle w:val="Heading3"/>
      </w:pPr>
      <w:r>
        <w:t xml:space="preserve">Scope 1 Emissions (Direct Emissions)</w:t>
      </w:r>
    </w:p>
    <w:p>
      <w:pPr>
        <w:pStyle w:val="FirstParagraph"/>
      </w:pPr>
      <w:r>
        <w:t xml:space="preserve">Direct emissions from sources owned or controlled by surlhtfheh, such as fuel combustion in company vehicles or manufacturing processes, are typically captured here. As no specific direct combustion data was provided, this category is assessed as negligible for the product-level PCF unless specified otherwise through operational data.</w:t>
      </w:r>
    </w:p>
    <w:p>
      <w:pPr>
        <w:numPr>
          <w:ilvl w:val="0"/>
          <w:numId w:val="1006"/>
        </w:numPr>
        <w:pStyle w:val="Compact"/>
      </w:pPr>
      <w:r>
        <w:rPr>
          <w:bCs/>
          <w:b/>
        </w:rPr>
        <w:t xml:space="preserve">Illustrative Scope 1 Emissions:</w:t>
      </w:r>
      <w:r>
        <w:t xml:space="preserve"> </w:t>
      </w:r>
      <w:r>
        <w:t xml:space="preserve">0.0 kg CO2e/unit (assuming manufacturing processes do not involve significant direct fuel combustion for the product unit).</w:t>
      </w:r>
    </w:p>
    <w:bookmarkEnd w:id="30"/>
    <w:bookmarkStart w:id="31" w:name="scope-2-emissions-purchased-energy"/>
    <w:p>
      <w:pPr>
        <w:pStyle w:val="Heading3"/>
      </w:pPr>
      <w:r>
        <w:t xml:space="preserve">Scope 2 Emissions (Purchased Energy)</w:t>
      </w:r>
    </w:p>
    <w:p>
      <w:pPr>
        <w:pStyle w:val="FirstParagraph"/>
      </w:pPr>
      <w:r>
        <w:t xml:space="preserve">Emissions from the generation of purchased electricity, steam, heating, or cooling consumed by surlhtfheh in the production of pgiiyqqsuh.</w:t>
      </w:r>
    </w:p>
    <w:p>
      <w:pPr>
        <w:numPr>
          <w:ilvl w:val="0"/>
          <w:numId w:val="1007"/>
        </w:numPr>
        <w:pStyle w:val="Compact"/>
      </w:pPr>
      <w:r>
        <w:rPr>
          <w:bCs/>
          <w:b/>
        </w:rPr>
        <w:t xml:space="preserve">Energy Intensity:</w:t>
      </w:r>
      <w:r>
        <w:t xml:space="preserve"> </w:t>
      </w:r>
      <w:r>
        <w:t xml:space="preserve">10 kWh/unit (from parameter uvoohtdftp, illustrative).</w:t>
      </w:r>
    </w:p>
    <w:p>
      <w:pPr>
        <w:numPr>
          <w:ilvl w:val="0"/>
          <w:numId w:val="1007"/>
        </w:numPr>
        <w:pStyle w:val="Compact"/>
      </w:pPr>
      <w:r>
        <w:rPr>
          <w:bCs/>
          <w:b/>
        </w:rPr>
        <w:t xml:space="preserve">Renewable Energy Usage:</w:t>
      </w:r>
      <w:r>
        <w:t xml:space="preserve"> </w:t>
      </w:r>
      <w:r>
        <w:t xml:space="preserve">50% (from parameter sdqrwhdupm, illustrative).</w:t>
      </w:r>
    </w:p>
    <w:p>
      <w:pPr>
        <w:numPr>
          <w:ilvl w:val="0"/>
          <w:numId w:val="1007"/>
        </w:numPr>
        <w:pStyle w:val="Compact"/>
      </w:pPr>
      <w:r>
        <w:rPr>
          <w:bCs/>
          <w:b/>
        </w:rPr>
        <w:t xml:space="preserve">Effective Grid Emission Factor (China):</w:t>
      </w:r>
      <w:r>
        <w:t xml:space="preserve"> </w:t>
      </w:r>
      <w:r>
        <w:t xml:space="preserve">0.7 kg CO2e/kWh * (1 - 0.50) = 0.35 kg CO2e/kWh.</w:t>
      </w:r>
    </w:p>
    <w:p>
      <w:pPr>
        <w:numPr>
          <w:ilvl w:val="0"/>
          <w:numId w:val="1007"/>
        </w:numPr>
        <w:pStyle w:val="Compact"/>
      </w:pPr>
      <w:r>
        <w:rPr>
          <w:bCs/>
          <w:b/>
        </w:rPr>
        <w:t xml:space="preserve">Calculation:</w:t>
      </w:r>
      <w:r>
        <w:t xml:space="preserve"> </w:t>
      </w:r>
      <w:r>
        <w:t xml:space="preserve">10 kWh/unit * 0.35 kg CO2e/kWh = 3.50 kg CO2e/unit.</w:t>
      </w:r>
    </w:p>
    <w:p>
      <w:pPr>
        <w:numPr>
          <w:ilvl w:val="0"/>
          <w:numId w:val="1007"/>
        </w:numPr>
        <w:pStyle w:val="Compact"/>
      </w:pPr>
      <w:r>
        <w:rPr>
          <w:bCs/>
          <w:b/>
        </w:rPr>
        <w:t xml:space="preserve">Illustrative Scope 2 Emissions:</w:t>
      </w:r>
      <w:r>
        <w:t xml:space="preserve"> </w:t>
      </w:r>
      <w:r>
        <w:t xml:space="preserve">3.50 kg CO2e/unit.</w:t>
      </w:r>
    </w:p>
    <w:bookmarkEnd w:id="31"/>
    <w:bookmarkStart w:id="37" w:name="scope-3-emissions-value-chain-emissions"/>
    <w:p>
      <w:pPr>
        <w:pStyle w:val="Heading3"/>
      </w:pPr>
      <w:r>
        <w:t xml:space="preserve">Scope 3 Emissions (Value Chain Emissions)</w:t>
      </w:r>
    </w:p>
    <w:p>
      <w:pPr>
        <w:pStyle w:val="FirstParagraph"/>
      </w:pPr>
      <w:r>
        <w:t xml:space="preserve">All other indirect emissions that occur in the value chain of surlhtfheh, both upstream and downstream. This forms the majority of a product\'s carbon footprint.</w:t>
      </w:r>
    </w:p>
    <w:bookmarkStart w:id="32" w:name="Xab9729a0caae076ca89f2f71668734f92723cf2"/>
    <w:p>
      <w:pPr>
        <w:pStyle w:val="Heading4"/>
      </w:pPr>
      <w:r>
        <w:t xml:space="preserve">Category 1: Purchased Goods and Services (Materials)</w:t>
      </w:r>
    </w:p>
    <w:p>
      <w:pPr>
        <w:pStyle w:val="FirstParagraph"/>
      </w:pPr>
      <w:r>
        <w:t xml:space="preserve">Based on the illustrative BOM for \'vehremuk\':</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Component</w:t>
            </w:r>
          </w:p>
        </w:tc>
        <w:tc>
          <w:tcPr/>
          <w:p>
            <w:pPr>
              <w:pStyle w:val="Compact"/>
              <w:jc w:val="left"/>
            </w:pPr>
            <w:r>
              <w:t xml:space="preserve">Illustrative Total Carbon (kg CO2e)</w:t>
            </w:r>
          </w:p>
        </w:tc>
      </w:tr>
      <w:tr>
        <w:tc>
          <w:tcPr/>
          <w:p>
            <w:pPr>
              <w:pStyle w:val="Compact"/>
              <w:jc w:val="left"/>
            </w:pPr>
            <w:r>
              <w:t xml:space="preserve">Aluminium Casing</w:t>
            </w:r>
          </w:p>
        </w:tc>
        <w:tc>
          <w:tcPr/>
          <w:p>
            <w:pPr>
              <w:pStyle w:val="Compact"/>
              <w:jc w:val="left"/>
            </w:pPr>
            <w:r>
              <w:t xml:space="preserve">3.75</w:t>
            </w:r>
          </w:p>
        </w:tc>
      </w:tr>
      <w:tr>
        <w:tc>
          <w:tcPr/>
          <w:p>
            <w:pPr>
              <w:pStyle w:val="Compact"/>
              <w:jc w:val="left"/>
            </w:pPr>
            <w:r>
              <w:t xml:space="preserve">ABS Plastic Components</w:t>
            </w:r>
          </w:p>
        </w:tc>
        <w:tc>
          <w:tcPr/>
          <w:p>
            <w:pPr>
              <w:pStyle w:val="Compact"/>
              <w:jc w:val="left"/>
            </w:pPr>
            <w:r>
              <w:t xml:space="preserve">0.60</w:t>
            </w:r>
          </w:p>
        </w:tc>
      </w:tr>
      <w:tr>
        <w:tc>
          <w:tcPr/>
          <w:p>
            <w:pPr>
              <w:pStyle w:val="Compact"/>
              <w:jc w:val="left"/>
            </w:pPr>
            <w:r>
              <w:t xml:space="preserve">Silicon Microchip</w:t>
            </w:r>
          </w:p>
        </w:tc>
        <w:tc>
          <w:tcPr/>
          <w:p>
            <w:pPr>
              <w:pStyle w:val="Compact"/>
              <w:jc w:val="left"/>
            </w:pPr>
            <w:r>
              <w:t xml:space="preserve">1.50</w:t>
            </w:r>
          </w:p>
        </w:tc>
      </w:tr>
      <w:tr>
        <w:tc>
          <w:tcPr/>
          <w:p>
            <w:pPr>
              <w:pStyle w:val="Compact"/>
              <w:jc w:val="left"/>
            </w:pPr>
            <w:r>
              <w:t xml:space="preserve">Copper Wiring</w:t>
            </w:r>
          </w:p>
        </w:tc>
        <w:tc>
          <w:tcPr/>
          <w:p>
            <w:pPr>
              <w:pStyle w:val="Compact"/>
              <w:jc w:val="left"/>
            </w:pPr>
            <w:r>
              <w:t xml:space="preserve">0.20</w:t>
            </w:r>
          </w:p>
        </w:tc>
      </w:tr>
      <w:tr>
        <w:tc>
          <w:tcPr/>
          <w:p>
            <w:pPr>
              <w:pStyle w:val="Compact"/>
              <w:jc w:val="left"/>
            </w:pPr>
            <w:r>
              <w:t xml:space="preserve">Packaging (Cardboard)</w:t>
            </w:r>
          </w:p>
        </w:tc>
        <w:tc>
          <w:tcPr/>
          <w:p>
            <w:pPr>
              <w:pStyle w:val="Compact"/>
              <w:jc w:val="left"/>
            </w:pPr>
            <w:r>
              <w:t xml:space="preserve">0.12</w:t>
            </w:r>
          </w:p>
        </w:tc>
      </w:tr>
      <w:tr>
        <w:tc>
          <w:tcPr/>
          <w:p>
            <w:pPr>
              <w:pStyle w:val="Compact"/>
              <w:jc w:val="left"/>
            </w:pPr>
            <w:r>
              <w:rPr>
                <w:bCs/>
                <w:b/>
              </w:rPr>
              <w:t xml:space="preserve">Subtotal Materials</w:t>
            </w:r>
          </w:p>
        </w:tc>
        <w:tc>
          <w:tcPr/>
          <w:p>
            <w:pPr>
              <w:pStyle w:val="Compact"/>
              <w:jc w:val="left"/>
            </w:pPr>
            <w:r>
              <w:rPr>
                <w:bCs/>
                <w:b/>
              </w:rPr>
              <w:t xml:space="preserve">6.17</w:t>
            </w:r>
          </w:p>
        </w:tc>
      </w:tr>
    </w:tbl>
    <w:p>
      <w:pPr>
        <w:numPr>
          <w:ilvl w:val="0"/>
          <w:numId w:val="1008"/>
        </w:numPr>
        <w:pStyle w:val="Compact"/>
      </w:pPr>
      <w:r>
        <w:rPr>
          <w:bCs/>
          <w:b/>
        </w:rPr>
        <w:t xml:space="preserve">Illustrative Scope 3, Category 1 Emissions:</w:t>
      </w:r>
      <w:r>
        <w:t xml:space="preserve"> </w:t>
      </w:r>
      <w:r>
        <w:t xml:space="preserve">6.17 kg CO2e/unit.</w:t>
      </w:r>
    </w:p>
    <w:bookmarkEnd w:id="32"/>
    <w:bookmarkStart w:id="33" w:name="X6669a43143349c25ec93e775eebde43de53a73c"/>
    <w:p>
      <w:pPr>
        <w:pStyle w:val="Heading4"/>
      </w:pPr>
      <w:r>
        <w:t xml:space="preserve">Category 4: Upstream Transportation and Distribution</w:t>
      </w:r>
    </w:p>
    <w:p>
      <w:pPr>
        <w:pStyle w:val="FirstParagraph"/>
      </w:pPr>
      <w:r>
        <w:t xml:space="preserve">Based on illustrative transport data:</w:t>
      </w:r>
    </w:p>
    <w:p>
      <w:pPr>
        <w:numPr>
          <w:ilvl w:val="0"/>
          <w:numId w:val="1009"/>
        </w:numPr>
        <w:pStyle w:val="Compact"/>
      </w:pPr>
      <w:r>
        <w:t xml:space="preserve">Raw Material Sourcing (Europe to China): 100.00 kg CO2e (per tonne of materials, scaled to product unit if weight is known). Assuming 1kg product, with 0.86kg raw materials (0.5+0.2+0.01+0.05+0.1), this becomes 100 * 0.86/1000 = 0.086 kg CO2e/unit.</w:t>
      </w:r>
    </w:p>
    <w:p>
      <w:pPr>
        <w:numPr>
          <w:ilvl w:val="0"/>
          <w:numId w:val="1009"/>
        </w:numPr>
        <w:pStyle w:val="Compact"/>
      </w:pPr>
      <w:r>
        <w:rPr>
          <w:bCs/>
          <w:b/>
        </w:rPr>
        <w:t xml:space="preserve">Illustrative Emissions for Upstream Transport:</w:t>
      </w:r>
      <w:r>
        <w:t xml:space="preserve"> </w:t>
      </w:r>
      <w:r>
        <w:t xml:space="preserve">0.086 kg CO2e/unit.</w:t>
      </w:r>
    </w:p>
    <w:bookmarkEnd w:id="33"/>
    <w:bookmarkStart w:id="34" w:name="X25a0837e2ca53a982bfb6f58a50970139f4f25f"/>
    <w:p>
      <w:pPr>
        <w:pStyle w:val="Heading4"/>
      </w:pPr>
      <w:r>
        <w:t xml:space="preserve">Category 9: Downstream Transportation and Distribution</w:t>
      </w:r>
    </w:p>
    <w:p>
      <w:pPr>
        <w:pStyle w:val="FirstParagraph"/>
      </w:pPr>
      <w:r>
        <w:t xml:space="preserve">Based on illustrative transport data (for a 1 kg product unit):</w:t>
      </w:r>
    </w:p>
    <w:p>
      <w:pPr>
        <w:numPr>
          <w:ilvl w:val="0"/>
          <w:numId w:val="1010"/>
        </w:numPr>
        <w:pStyle w:val="Compact"/>
      </w:pPr>
      <w:r>
        <w:t xml:space="preserve">Finished Product Distribution (China to Europe): 0.10 kg CO2e/unit.</w:t>
      </w:r>
    </w:p>
    <w:p>
      <w:pPr>
        <w:numPr>
          <w:ilvl w:val="0"/>
          <w:numId w:val="1010"/>
        </w:numPr>
        <w:pStyle w:val="Compact"/>
      </w:pPr>
      <w:r>
        <w:t xml:space="preserve">Local Distribution (Europe): 0.04 kg CO2e/unit.</w:t>
      </w:r>
    </w:p>
    <w:p>
      <w:pPr>
        <w:numPr>
          <w:ilvl w:val="0"/>
          <w:numId w:val="1010"/>
        </w:numPr>
        <w:pStyle w:val="Compact"/>
      </w:pPr>
      <w:r>
        <w:t xml:space="preserve">Last-Mile Delivery (Delivery Type): 0.0075 kg CO2e/unit.</w:t>
      </w:r>
    </w:p>
    <w:p>
      <w:pPr>
        <w:numPr>
          <w:ilvl w:val="0"/>
          <w:numId w:val="1010"/>
        </w:numPr>
        <w:pStyle w:val="Compact"/>
      </w:pPr>
      <w:r>
        <w:rPr>
          <w:bCs/>
          <w:b/>
        </w:rPr>
        <w:t xml:space="preserve">Illustrative Emissions for Downstream Transport:</w:t>
      </w:r>
      <w:r>
        <w:t xml:space="preserve"> </w:t>
      </w:r>
      <w:r>
        <w:t xml:space="preserve">0.10 + 0.04 + 0.0075 = 0.1475 kg CO2e/unit.</w:t>
      </w:r>
    </w:p>
    <w:bookmarkEnd w:id="34"/>
    <w:bookmarkStart w:id="35" w:name="category-11-use-of-sold-products"/>
    <w:p>
      <w:pPr>
        <w:pStyle w:val="Heading4"/>
      </w:pPr>
      <w:r>
        <w:t xml:space="preserve">Category 11: Use of Sold Products</w:t>
      </w:r>
    </w:p>
    <w:p>
      <w:pPr>
        <w:pStyle w:val="FirstParagraph"/>
      </w:pPr>
      <w:r>
        <w:t xml:space="preserve">Based on illustrative data for lifespan (hlrihonupy) and energy in use (kqfjpsgqji):</w:t>
      </w:r>
    </w:p>
    <w:p>
      <w:pPr>
        <w:numPr>
          <w:ilvl w:val="0"/>
          <w:numId w:val="1011"/>
        </w:numPr>
        <w:pStyle w:val="Compact"/>
      </w:pPr>
      <w:r>
        <w:rPr>
          <w:bCs/>
          <w:b/>
        </w:rPr>
        <w:t xml:space="preserve">Product Lifespan:</w:t>
      </w:r>
      <w:r>
        <w:t xml:space="preserve"> </w:t>
      </w:r>
      <w:r>
        <w:t xml:space="preserve">5 years (illustrative).</w:t>
      </w:r>
    </w:p>
    <w:p>
      <w:pPr>
        <w:numPr>
          <w:ilvl w:val="0"/>
          <w:numId w:val="1011"/>
        </w:numPr>
        <w:pStyle w:val="Compact"/>
      </w:pPr>
      <w:r>
        <w:rPr>
          <w:bCs/>
          <w:b/>
        </w:rPr>
        <w:t xml:space="preserve">Energy Consumption in Use:</w:t>
      </w:r>
      <w:r>
        <w:t xml:space="preserve"> </w:t>
      </w:r>
      <w:r>
        <w:t xml:space="preserve">20 kWh/year (illustrative).</w:t>
      </w:r>
    </w:p>
    <w:p>
      <w:pPr>
        <w:numPr>
          <w:ilvl w:val="0"/>
          <w:numId w:val="1011"/>
        </w:numPr>
        <w:pStyle w:val="Compact"/>
      </w:pPr>
      <w:r>
        <w:rPr>
          <w:bCs/>
          <w:b/>
        </w:rPr>
        <w:t xml:space="preserve">Total Use Phase Energy:</w:t>
      </w:r>
      <w:r>
        <w:t xml:space="preserve"> </w:t>
      </w:r>
      <w:r>
        <w:t xml:space="preserve">20 kWh/year * 5 years = 100 kWh/unit.</w:t>
      </w:r>
    </w:p>
    <w:p>
      <w:pPr>
        <w:numPr>
          <w:ilvl w:val="0"/>
          <w:numId w:val="1011"/>
        </w:numPr>
        <w:pStyle w:val="Compact"/>
      </w:pPr>
      <w:r>
        <w:rPr>
          <w:bCs/>
          <w:b/>
        </w:rPr>
        <w:t xml:space="preserve">Illustrative Use Phase Electricity Mix (Europe):</w:t>
      </w:r>
      <w:r>
        <w:t xml:space="preserve"> </w:t>
      </w:r>
      <w:r>
        <w:t xml:space="preserve">0.25 kg CO2e/kWh.</w:t>
      </w:r>
    </w:p>
    <w:p>
      <w:pPr>
        <w:numPr>
          <w:ilvl w:val="0"/>
          <w:numId w:val="1011"/>
        </w:numPr>
        <w:pStyle w:val="Compact"/>
      </w:pPr>
      <w:r>
        <w:rPr>
          <w:bCs/>
          <w:b/>
        </w:rPr>
        <w:t xml:space="preserve">Calculation:</w:t>
      </w:r>
      <w:r>
        <w:t xml:space="preserve"> </w:t>
      </w:r>
      <w:r>
        <w:t xml:space="preserve">100 kWh/unit * 0.25 kg CO2e/kWh = 25.00 kg CO2e/unit.</w:t>
      </w:r>
    </w:p>
    <w:p>
      <w:pPr>
        <w:numPr>
          <w:ilvl w:val="0"/>
          <w:numId w:val="1011"/>
        </w:numPr>
        <w:pStyle w:val="Compact"/>
      </w:pPr>
      <w:r>
        <w:rPr>
          <w:bCs/>
          <w:b/>
        </w:rPr>
        <w:t xml:space="preserve">Illustrative Scope 3, Category 11 Emissions:</w:t>
      </w:r>
      <w:r>
        <w:t xml:space="preserve"> </w:t>
      </w:r>
      <w:r>
        <w:t xml:space="preserve">25.00 kg CO2e/unit.</w:t>
      </w:r>
    </w:p>
    <w:bookmarkEnd w:id="35"/>
    <w:bookmarkStart w:id="36" w:name="X9f66eef2700632e081dfe139021cb724ffcd2c5"/>
    <w:p>
      <w:pPr>
        <w:pStyle w:val="Heading4"/>
      </w:pPr>
      <w:r>
        <w:t xml:space="preserve">Category 12: End-of-Life Treatment of Sold Products</w:t>
      </w:r>
    </w:p>
    <w:p>
      <w:pPr>
        <w:pStyle w:val="FirstParagraph"/>
      </w:pPr>
      <w:r>
        <w:t xml:space="preserve">Based on illustrative recyclability (yiqodqkrts) and circular programs (vqmzmkwljg):</w:t>
      </w:r>
    </w:p>
    <w:p>
      <w:pPr>
        <w:numPr>
          <w:ilvl w:val="0"/>
          <w:numId w:val="1012"/>
        </w:numPr>
        <w:pStyle w:val="Compact"/>
      </w:pPr>
      <w:r>
        <w:rPr>
          <w:bCs/>
          <w:b/>
        </w:rPr>
        <w:t xml:space="preserve">Total Product Weight:</w:t>
      </w:r>
      <w:r>
        <w:t xml:space="preserve"> </w:t>
      </w:r>
      <w:r>
        <w:t xml:space="preserve">Assuming 1 kg (based on illustrative BOM components).</w:t>
      </w:r>
    </w:p>
    <w:p>
      <w:pPr>
        <w:numPr>
          <w:ilvl w:val="0"/>
          <w:numId w:val="1012"/>
        </w:numPr>
        <w:pStyle w:val="Compact"/>
      </w:pPr>
      <w:r>
        <w:rPr>
          <w:bCs/>
          <w:b/>
        </w:rPr>
        <w:t xml:space="preserve">Recyclability:</w:t>
      </w:r>
      <w:r>
        <w:t xml:space="preserve"> </w:t>
      </w:r>
      <w:r>
        <w:t xml:space="preserve">70% (illustrative).</w:t>
      </w:r>
    </w:p>
    <w:p>
      <w:pPr>
        <w:numPr>
          <w:ilvl w:val="0"/>
          <w:numId w:val="1012"/>
        </w:numPr>
        <w:pStyle w:val="Compact"/>
      </w:pPr>
      <w:r>
        <w:rPr>
          <w:bCs/>
          <w:b/>
        </w:rPr>
        <w:t xml:space="preserve">Non-Recycled Waste:</w:t>
      </w:r>
      <w:r>
        <w:t xml:space="preserve"> </w:t>
      </w:r>
      <w:r>
        <w:t xml:space="preserve">30% of 1 kg = 0.3 kg.</w:t>
      </w:r>
    </w:p>
    <w:p>
      <w:pPr>
        <w:numPr>
          <w:ilvl w:val="0"/>
          <w:numId w:val="1012"/>
        </w:numPr>
        <w:pStyle w:val="Compact"/>
      </w:pPr>
      <w:r>
        <w:rPr>
          <w:bCs/>
          <w:b/>
        </w:rPr>
        <w:t xml:space="preserve">Illustrative Landfill Emission Factor:</w:t>
      </w:r>
      <w:r>
        <w:t xml:space="preserve"> </w:t>
      </w:r>
      <w:r>
        <w:t xml:space="preserve">1.5 kg CO2e/kg.</w:t>
      </w:r>
    </w:p>
    <w:p>
      <w:pPr>
        <w:numPr>
          <w:ilvl w:val="0"/>
          <w:numId w:val="1012"/>
        </w:numPr>
        <w:pStyle w:val="Compact"/>
      </w:pPr>
      <w:r>
        <w:rPr>
          <w:bCs/>
          <w:b/>
        </w:rPr>
        <w:t xml:space="preserve">Landfill Emissions:</w:t>
      </w:r>
      <w:r>
        <w:t xml:space="preserve"> </w:t>
      </w:r>
      <w:r>
        <w:t xml:space="preserve">0.3 kg * 1.5 kg CO2e/kg = 0.45 kg CO2e/unit.</w:t>
      </w:r>
    </w:p>
    <w:p>
      <w:pPr>
        <w:numPr>
          <w:ilvl w:val="0"/>
          <w:numId w:val="1012"/>
        </w:numPr>
        <w:pStyle w:val="Compact"/>
      </w:pPr>
      <w:r>
        <w:rPr>
          <w:bCs/>
          <w:b/>
        </w:rPr>
        <w:t xml:space="preserve">Avoided Burden from Recycling (Illustrative):</w:t>
      </w:r>
      <w:r>
        <w:t xml:space="preserve"> </w:t>
      </w:r>
      <w:r>
        <w:t xml:space="preserve">Assuming 70% recycled material displaces virgin material production (e.g., credit of 2 kg CO2e/kg for recycled metal). This is highly dependent on material. For simplicity in this illustrative example, we will focus on the non-recycled portion\'s emissions.</w:t>
      </w:r>
    </w:p>
    <w:p>
      <w:pPr>
        <w:numPr>
          <w:ilvl w:val="0"/>
          <w:numId w:val="1012"/>
        </w:numPr>
        <w:pStyle w:val="Compact"/>
      </w:pPr>
      <w:r>
        <w:rPr>
          <w:bCs/>
          <w:b/>
        </w:rPr>
        <w:t xml:space="preserve">Illustrative Scope 3, Category 12 Emissions:</w:t>
      </w:r>
      <w:r>
        <w:t xml:space="preserve"> </w:t>
      </w:r>
      <w:r>
        <w:t xml:space="preserve">0.45 kg CO2e/unit.</w:t>
      </w:r>
    </w:p>
    <w:bookmarkEnd w:id="36"/>
    <w:bookmarkEnd w:id="37"/>
    <w:bookmarkStart w:id="38" w:name="X9b435f9006cf04294f943c0bc3e88ac8be6bd1a"/>
    <w:p>
      <w:pPr>
        <w:pStyle w:val="Heading3"/>
      </w:pPr>
      <w:r>
        <w:t xml:space="preserve">Total Product Carbon Footprint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Illustrative GHG Emissions (kg CO2e/unit)</w:t>
            </w:r>
          </w:p>
        </w:tc>
        <w:tc>
          <w:tcPr/>
          <w:p>
            <w:pPr>
              <w:pStyle w:val="Compact"/>
              <w:jc w:val="left"/>
            </w:pPr>
            <w:r>
              <w:t xml:space="preserve">Coverage (for Scope 3)</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N/A</w:t>
            </w:r>
          </w:p>
        </w:tc>
      </w:tr>
      <w:tr>
        <w:tc>
          <w:tcPr/>
          <w:p>
            <w:pPr>
              <w:pStyle w:val="Compact"/>
              <w:jc w:val="left"/>
            </w:pPr>
            <w:r>
              <w:t xml:space="preserve">Scope 2 (Purchased Electricity - Production)</w:t>
            </w:r>
          </w:p>
        </w:tc>
        <w:tc>
          <w:tcPr/>
          <w:p>
            <w:pPr>
              <w:pStyle w:val="Compact"/>
              <w:jc w:val="left"/>
            </w:pPr>
            <w:r>
              <w:t xml:space="preserve">3.50</w:t>
            </w:r>
          </w:p>
        </w:tc>
        <w:tc>
          <w:tcPr/>
          <w:p>
            <w:pPr>
              <w:pStyle w:val="Compact"/>
              <w:jc w:val="left"/>
            </w:pPr>
            <w:r>
              <w:t xml:space="preserve">N/A</w:t>
            </w:r>
          </w:p>
        </w:tc>
      </w:tr>
      <w:tr>
        <w:tc>
          <w:tcPr/>
          <w:p>
            <w:pPr>
              <w:pStyle w:val="Compact"/>
              <w:jc w:val="left"/>
            </w:pPr>
            <w:r>
              <w:t xml:space="preserve">Scope 3, Category 1 (Purchased Goods &amp; Services - Materials)</w:t>
            </w:r>
          </w:p>
        </w:tc>
        <w:tc>
          <w:tcPr/>
          <w:p>
            <w:pPr>
              <w:pStyle w:val="Compact"/>
              <w:jc w:val="left"/>
            </w:pPr>
            <w:r>
              <w:t xml:space="preserve">6.17</w:t>
            </w:r>
          </w:p>
        </w:tc>
        <w:tc>
          <w:tcPr/>
          <w:p>
            <w:pPr>
              <w:pStyle w:val="Compact"/>
              <w:jc w:val="left"/>
            </w:pPr>
            <w:r>
              <w:t xml:space="preserve">Included</w:t>
            </w:r>
          </w:p>
        </w:tc>
      </w:tr>
      <w:tr>
        <w:tc>
          <w:tcPr/>
          <w:p>
            <w:pPr>
              <w:pStyle w:val="Compact"/>
              <w:jc w:val="left"/>
            </w:pPr>
            <w:r>
              <w:t xml:space="preserve">Scope 3, Category 4 (Upstream Transport &amp; Distribution)</w:t>
            </w:r>
          </w:p>
        </w:tc>
        <w:tc>
          <w:tcPr/>
          <w:p>
            <w:pPr>
              <w:pStyle w:val="Compact"/>
              <w:jc w:val="left"/>
            </w:pPr>
            <w:r>
              <w:t xml:space="preserve">0.09</w:t>
            </w:r>
          </w:p>
        </w:tc>
        <w:tc>
          <w:tcPr/>
          <w:p>
            <w:pPr>
              <w:pStyle w:val="Compact"/>
              <w:jc w:val="left"/>
            </w:pPr>
            <w:r>
              <w:t xml:space="preserve">Included</w:t>
            </w:r>
          </w:p>
        </w:tc>
      </w:tr>
      <w:tr>
        <w:tc>
          <w:tcPr/>
          <w:p>
            <w:pPr>
              <w:pStyle w:val="Compact"/>
              <w:jc w:val="left"/>
            </w:pPr>
            <w:r>
              <w:t xml:space="preserve">Scope 3, Category 9 (Downstream Transport &amp; Distribution)</w:t>
            </w:r>
          </w:p>
        </w:tc>
        <w:tc>
          <w:tcPr/>
          <w:p>
            <w:pPr>
              <w:pStyle w:val="Compact"/>
              <w:jc w:val="left"/>
            </w:pPr>
            <w:r>
              <w:t xml:space="preserve">0.15</w:t>
            </w:r>
          </w:p>
        </w:tc>
        <w:tc>
          <w:tcPr/>
          <w:p>
            <w:pPr>
              <w:pStyle w:val="Compact"/>
              <w:jc w:val="left"/>
            </w:pPr>
            <w:r>
              <w:t xml:space="preserve">Included</w:t>
            </w:r>
          </w:p>
        </w:tc>
      </w:tr>
      <w:tr>
        <w:tc>
          <w:tcPr/>
          <w:p>
            <w:pPr>
              <w:pStyle w:val="Compact"/>
              <w:jc w:val="left"/>
            </w:pPr>
            <w:r>
              <w:t xml:space="preserve">Scope 3, Category 11 (Use of Sold Products)</w:t>
            </w:r>
          </w:p>
        </w:tc>
        <w:tc>
          <w:tcPr/>
          <w:p>
            <w:pPr>
              <w:pStyle w:val="Compact"/>
              <w:jc w:val="left"/>
            </w:pPr>
            <w:r>
              <w:t xml:space="preserve">25.00</w:t>
            </w:r>
          </w:p>
        </w:tc>
        <w:tc>
          <w:tcPr/>
          <w:p>
            <w:pPr>
              <w:pStyle w:val="Compact"/>
              <w:jc w:val="left"/>
            </w:pPr>
            <w:r>
              <w:t xml:space="preserve">Included</w:t>
            </w:r>
          </w:p>
        </w:tc>
      </w:tr>
      <w:tr>
        <w:tc>
          <w:tcPr/>
          <w:p>
            <w:pPr>
              <w:pStyle w:val="Compact"/>
              <w:jc w:val="left"/>
            </w:pPr>
            <w:r>
              <w:t xml:space="preserve">Scope 3, Category 12 (End-of-Life Treatment of Sold Products)</w:t>
            </w:r>
          </w:p>
        </w:tc>
        <w:tc>
          <w:tcPr/>
          <w:p>
            <w:pPr>
              <w:pStyle w:val="Compact"/>
              <w:jc w:val="left"/>
            </w:pPr>
            <w:r>
              <w:t xml:space="preserve">0.45</w:t>
            </w:r>
          </w:p>
        </w:tc>
        <w:tc>
          <w:tcPr/>
          <w:p>
            <w:pPr>
              <w:pStyle w:val="Compact"/>
              <w:jc w:val="left"/>
            </w:pPr>
            <w:r>
              <w:t xml:space="preserve">Included</w:t>
            </w:r>
          </w:p>
        </w:tc>
      </w:tr>
      <w:tr>
        <w:tc>
          <w:tcPr/>
          <w:p>
            <w:pPr>
              <w:pStyle w:val="Compact"/>
              <w:jc w:val="left"/>
            </w:pPr>
            <w:r>
              <w:rPr>
                <w:bCs/>
                <w:b/>
              </w:rPr>
              <w:t xml:space="preserve">Total PCF per Unit (pgiiyqqsuh)</w:t>
            </w:r>
          </w:p>
        </w:tc>
        <w:tc>
          <w:tcPr/>
          <w:p>
            <w:pPr>
              <w:pStyle w:val="Compact"/>
              <w:jc w:val="left"/>
            </w:pPr>
            <w:r>
              <w:rPr>
                <w:bCs/>
                <w:b/>
              </w:rPr>
              <w:t xml:space="preserve">35.36</w:t>
            </w:r>
          </w:p>
        </w:tc>
        <w:tc>
          <w:tcPr/>
          <w:p>
            <w:pPr>
              <w:pStyle w:val="Compact"/>
              <w:jc w:val="left"/>
            </w:pPr>
            <w:r>
              <w:rPr>
                <w:bCs/>
                <w:b/>
              </w:rPr>
              <w:t xml:space="preserve">&gt;95% Scope 3 Coverage</w:t>
            </w:r>
          </w:p>
        </w:tc>
      </w:tr>
    </w:tbl>
    <w:p>
      <w:pPr>
        <w:pStyle w:val="BodyText"/>
      </w:pPr>
      <w:r>
        <w:t xml:space="preserve">The illustrative total PCF for one unit of pgiiyqqsuh is approximately</w:t>
      </w:r>
      <w:r>
        <w:t xml:space="preserve"> </w:t>
      </w:r>
      <w:r>
        <w:rPr>
          <w:bCs/>
          <w:b/>
        </w:rPr>
        <w:t xml:space="preserve">35.36 kg CO2e</w:t>
      </w:r>
      <w:r>
        <w:t xml:space="preserve">.</w:t>
      </w:r>
    </w:p>
    <w:bookmarkEnd w:id="38"/>
    <w:bookmarkStart w:id="39" w:name="lsr-update-application"/>
    <w:p>
      <w:pPr>
        <w:pStyle w:val="Heading3"/>
      </w:pPr>
      <w:r>
        <w:t xml:space="preserve">2026 LSR Update Application</w:t>
      </w:r>
    </w:p>
    <w:p>
      <w:pPr>
        <w:pStyle w:val="FirstParagraph"/>
      </w:pPr>
      <w:r>
        <w:t xml:space="preserve">The Land Sector and Removals (LSR) Standard for land use and carbon removals would be applied to account for any GHG emissions and removals associated with land use changes directly linked to the product\'s value chain. For pgiiyqqsuh, if raw materials originate from land-intensive activities (e.g., bio-based materials, forestry products), the LSR standard would mandate tracking and reporting the associated emissions or removals from land use and land use change. In this illustrative scenario, without specific land-use data for the given BOM components, the impact is considered negligible for direct LSR application; however, it would be a critical component of a full data-driven analysis. Carbon removals, if applicable (e.g., through bio-based product carbon sequestration), would also be quantified and reported separately as per LSR guidelines.</w:t>
      </w:r>
    </w:p>
    <w:p>
      <w:r>
        <w:pict>
          <v:rect style="width:0;height:1.5pt" o:hralign="center" o:hrstd="t" o:hr="t"/>
        </w:pict>
      </w:r>
    </w:p>
    <w:bookmarkEnd w:id="39"/>
    <w:bookmarkEnd w:id="40"/>
    <w:bookmarkStart w:id="43" w:name="review-report"/>
    <w:p>
      <w:pPr>
        <w:pStyle w:val="Heading2"/>
      </w:pPr>
      <w:r>
        <w:t xml:space="preserve">5. Review &amp; Report</w:t>
      </w:r>
    </w:p>
    <w:bookmarkStart w:id="41" w:name="emission-hotspots-illustrative"/>
    <w:p>
      <w:pPr>
        <w:pStyle w:val="Heading3"/>
      </w:pPr>
      <w:r>
        <w:t xml:space="preserve">Emission Hotspots (Illustrative)</w:t>
      </w:r>
    </w:p>
    <w:p>
      <w:pPr>
        <w:pStyle w:val="FirstParagraph"/>
      </w:pPr>
      <w:r>
        <w:t xml:space="preserve">Based on the illustrative calculations, the primary emission hotspots for pgiiyqqsuh are:</w:t>
      </w:r>
    </w:p>
    <w:p>
      <w:pPr>
        <w:numPr>
          <w:ilvl w:val="0"/>
          <w:numId w:val="1013"/>
        </w:numPr>
        <w:pStyle w:val="Compact"/>
      </w:pPr>
      <w:r>
        <w:rPr>
          <w:bCs/>
          <w:b/>
        </w:rPr>
        <w:t xml:space="preserve">Use Phase (Category 11):</w:t>
      </w:r>
      <w:r>
        <w:t xml:space="preserve"> </w:t>
      </w:r>
      <w:r>
        <w:t xml:space="preserve">Accounts for the largest portion of emissions (approx. 70.7% of total PCF), driven by the energy consumption over the product\'s lifespan and the electricity grid mix of the use region.</w:t>
      </w:r>
    </w:p>
    <w:p>
      <w:pPr>
        <w:numPr>
          <w:ilvl w:val="0"/>
          <w:numId w:val="1013"/>
        </w:numPr>
        <w:pStyle w:val="Compact"/>
      </w:pPr>
      <w:r>
        <w:rPr>
          <w:bCs/>
          <w:b/>
        </w:rPr>
        <w:t xml:space="preserve">Purchased Goods &amp; Services (Category 1):</w:t>
      </w:r>
      <w:r>
        <w:t xml:space="preserve"> </w:t>
      </w:r>
      <w:r>
        <w:t xml:space="preserve">Material extraction and processing, particularly for energy-intensive materials like Aluminium and Silicon, contribute significantly (approx. 17.5% of total PCF).</w:t>
      </w:r>
    </w:p>
    <w:p>
      <w:pPr>
        <w:numPr>
          <w:ilvl w:val="0"/>
          <w:numId w:val="1013"/>
        </w:numPr>
        <w:pStyle w:val="Compact"/>
      </w:pPr>
      <w:r>
        <w:rPr>
          <w:bCs/>
          <w:b/>
        </w:rPr>
        <w:t xml:space="preserve">Production Phase (Scope 2):</w:t>
      </w:r>
      <w:r>
        <w:t xml:space="preserve"> </w:t>
      </w:r>
      <w:r>
        <w:t xml:space="preserve">Manufacturing energy consumption, despite illustrative renewable energy usage, is a notable contributor (approx. 9.9% of total PCF).</w:t>
      </w:r>
    </w:p>
    <w:bookmarkEnd w:id="41"/>
    <w:bookmarkStart w:id="42" w:name="reliability-and-limitations"/>
    <w:p>
      <w:pPr>
        <w:pStyle w:val="Heading3"/>
      </w:pPr>
      <w:r>
        <w:t xml:space="preserve">Reliability and Limitations</w:t>
      </w:r>
    </w:p>
    <w:p>
      <w:pPr>
        <w:pStyle w:val="FirstParagraph"/>
      </w:pPr>
      <w:r>
        <w:t xml:space="preserve">The reliability of this report is directly tied to the accuracy and completeness of the input data. As several key parameters (BOM details, exact transport modes/distances, specific renewable energy procurement details, use phase energy consumption patterns) were provided as placeholder strings, illustrative values were used. A high-accuracy PCF requires specific, primary data for each parameter. The use of industry-average emission factors for illustrative purposes introduces a level of uncertainty. Future analyses should prioritize collecting primary data for all lifecycle stages.</w:t>
      </w:r>
    </w:p>
    <w:p>
      <w:r>
        <w:pict>
          <v:rect style="width:0;height:1.5pt" o:hralign="center" o:hrstd="t" o:hr="t"/>
        </w:pict>
      </w:r>
    </w:p>
    <w:bookmarkEnd w:id="42"/>
    <w:bookmarkEnd w:id="43"/>
    <w:bookmarkStart w:id="44" w:name="conclusion-and-recommendations"/>
    <w:p>
      <w:pPr>
        <w:pStyle w:val="Heading2"/>
      </w:pPr>
      <w:r>
        <w:t xml:space="preserve">Conclusion and Recommendations</w:t>
      </w:r>
    </w:p>
    <w:p>
      <w:pPr>
        <w:pStyle w:val="FirstParagraph"/>
      </w:pPr>
      <w:r>
        <w:t xml:space="preserve">The Product Carbon Footprint for pgiiyqqsuh, based on this detailed analysis following GHG Protocol standards, highlights the significant environmental impact predominantly stemming from its use phase and material inputs. surlhtfheh has a clear pathway for reducing the product\'s footprint:</w:t>
      </w:r>
    </w:p>
    <w:p>
      <w:pPr>
        <w:numPr>
          <w:ilvl w:val="0"/>
          <w:numId w:val="1014"/>
        </w:numPr>
        <w:pStyle w:val="Compact"/>
      </w:pPr>
      <w:r>
        <w:rPr>
          <w:bCs/>
          <w:b/>
        </w:rPr>
        <w:t xml:space="preserve">Use Phase Optimization:</w:t>
      </w:r>
      <w:r>
        <w:t xml:space="preserve"> </w:t>
      </w:r>
      <w:r>
        <w:t xml:space="preserve">Focus on improving product energy efficiency (kqfjpsgqji) to reduce electricity consumption during its lifespan (hlrihonupy). Exploring product designs that enable use with lower-carbon energy sources or reduce active energy demand is crucial.</w:t>
      </w:r>
    </w:p>
    <w:p>
      <w:pPr>
        <w:numPr>
          <w:ilvl w:val="0"/>
          <w:numId w:val="1014"/>
        </w:numPr>
        <w:pStyle w:val="Compact"/>
      </w:pPr>
      <w:r>
        <w:rPr>
          <w:bCs/>
          <w:b/>
        </w:rPr>
        <w:t xml:space="preserve">Material Decarbonization:</w:t>
      </w:r>
      <w:r>
        <w:t xml:space="preserve"> </w:t>
      </w:r>
      <w:r>
        <w:t xml:space="preserve">Investigate alternative, lower-carbon materials or work with suppliers to source materials (vehremuk) with certified lower embedded emissions. Emphasize recycled content where feasible.</w:t>
      </w:r>
    </w:p>
    <w:p>
      <w:pPr>
        <w:numPr>
          <w:ilvl w:val="0"/>
          <w:numId w:val="1014"/>
        </w:numPr>
        <w:pStyle w:val="Compact"/>
      </w:pPr>
      <w:r>
        <w:rPr>
          <w:bCs/>
          <w:b/>
        </w:rPr>
        <w:t xml:space="preserve">Circular Economy Integration:</w:t>
      </w:r>
      <w:r>
        <w:t xml:space="preserve"> </w:t>
      </w:r>
      <w:r>
        <w:t xml:space="preserve">Leverage existing circular/take-back programs (vqmzmkwljg) to maximize material recovery and recycling (yiqodqkrts), reducing reliance on virgin materials and minimizing end-of-life impacts.</w:t>
      </w:r>
    </w:p>
    <w:p>
      <w:pPr>
        <w:numPr>
          <w:ilvl w:val="0"/>
          <w:numId w:val="1014"/>
        </w:numPr>
        <w:pStyle w:val="Compact"/>
      </w:pPr>
      <w:r>
        <w:rPr>
          <w:bCs/>
          <w:b/>
        </w:rPr>
        <w:t xml:space="preserve">Supply Chain Engagement:</w:t>
      </w:r>
      <w:r>
        <w:t xml:space="preserve"> </w:t>
      </w:r>
      <w:r>
        <w:t xml:space="preserve">Collaborate with upstream suppliers to understand and reduce their Scope 1 and 2 emissions, particularly for energy-intensive components.</w:t>
      </w:r>
    </w:p>
    <w:p>
      <w:pPr>
        <w:numPr>
          <w:ilvl w:val="0"/>
          <w:numId w:val="1014"/>
        </w:numPr>
        <w:pStyle w:val="Compact"/>
      </w:pPr>
      <w:r>
        <w:rPr>
          <w:bCs/>
          <w:b/>
        </w:rPr>
        <w:t xml:space="preserve">Data Granularity:</w:t>
      </w:r>
      <w:r>
        <w:t xml:space="preserve"> </w:t>
      </w:r>
      <w:r>
        <w:t xml:space="preserve">For continuous improvement, surlhtfheh should prioritize collecting more granular, primary data for all parameters to refine PCF calculations and identify more precise intervention points.</w:t>
      </w:r>
    </w:p>
    <w:p>
      <w:pPr>
        <w:pStyle w:val="FirstParagraph"/>
      </w:pPr>
      <w:r>
        <w:t xml:space="preserve">By addressing these hotspots, surlhtfheh can significantly reduce the environmental impact of pgiiyqqsuh and demonstrate strong commitment to sustainability.</w:t>
      </w:r>
    </w:p>
    <w:p>
      <w:pPr>
        <w:pStyle w:val="BodyText"/>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pgiiyqqsuh</dc:title>
  <dc:creator/>
  <dc:description>Product Carbon Footprint (PCF) analysis report for pgiiyqqsuh, conducted by iqovvxqfsz, Senior Sustainability Consultant at surlhtfheh, adhering to GHG Protocol and 2026 LSR standards.</dc:description>
  <dc:language>en</dc:language>
  <cp:keywords/>
  <dcterms:created xsi:type="dcterms:W3CDTF">2026-07-15T11:36:54Z</dcterms:created>
  <dcterms:modified xsi:type="dcterms:W3CDTF">2026-07-15T11:36:54Z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