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pfpyqxqxqz</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pfpyqxqxqz"/>
    <w:p>
      <w:pPr>
        <w:pStyle w:val="Heading2"/>
      </w:pPr>
      <w:r>
        <w:t xml:space="preserve">Product: pfpyqxqxqz</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xryrrfegjh</w:t>
      </w:r>
    </w:p>
    <w:p>
      <w:pPr>
        <w:pStyle w:val="BodyText"/>
      </w:pPr>
      <w:r>
        <w:rPr>
          <w:bCs/>
          <w:b/>
        </w:rPr>
        <w:t xml:space="preserve">Senior Sustainability Consultant:</w:t>
      </w:r>
      <w:r>
        <w:t xml:space="preserve"> </w:t>
      </w:r>
      <w:r>
        <w:t xml:space="preserve">xnrhuzjvsf</w:t>
      </w:r>
    </w:p>
    <w:p>
      <w:pPr>
        <w:pStyle w:val="BodyText"/>
      </w:pPr>
      <w:r>
        <w:t xml:space="preserve">This report is generated based on available data and industry standards. Actual emissions may vary depending on specific operational details and evolving data accuracy.</w:t>
      </w:r>
    </w:p>
    <w:bookmarkEnd w:id="20"/>
    <w:bookmarkEnd w:id="21"/>
    <w:bookmarkStart w:id="49" w:name="Xc62cb1f6e57bd1d43b1a5fae43a8e2877ec5c7f"/>
    <w:p>
      <w:pPr>
        <w:pStyle w:val="Heading1"/>
      </w:pPr>
      <w:r>
        <w:t xml:space="preserve">Product Carbon Footprint (PCF) Analysis Report</w:t>
      </w:r>
    </w:p>
    <w:bookmarkStart w:id="22" w:name="generated-date-june-02-2026"/>
    <w:p>
      <w:pPr>
        <w:pStyle w:val="Heading3"/>
      </w:pPr>
      <w:r>
        <w:t xml:space="preserve">Generated Date: June 02, 2026</w:t>
      </w:r>
    </w:p>
    <w:p>
      <w:pPr>
        <w:pStyle w:val="FirstParagraph"/>
      </w:pPr>
      <w:r>
        <w:t xml:space="preserve">As xnrhuzjvsf, Senior Sustainability Consultant at xryrrfegjh, specializing in GHG Protocol, I have performed a high-detail Product Carbon Footprint (PCF) analysis for the product pfpyqxqxqz. This report outlines the methodology, data collected, calculated emissions, and key findings, adhering to the Greenhouse Gas (GHG) Protocol standards, including the latest 2026 Land Sector and Removals (LSR) update and stringent Scope 3 compliance requirements.</w:t>
      </w:r>
    </w:p>
    <w:p>
      <w:r>
        <w:pict>
          <v:rect style="width:0;height:1.5pt" o:hralign="center" o:hrstd="t" o:hr="t"/>
        </w:pict>
      </w:r>
    </w:p>
    <w:bookmarkEnd w:id="22"/>
    <w:bookmarkStart w:id="23" w:name="methodology-overview"/>
    <w:p>
      <w:pPr>
        <w:pStyle w:val="Heading2"/>
      </w:pPr>
      <w:r>
        <w:t xml:space="preserve">1. Methodology Overview</w:t>
      </w:r>
    </w:p>
    <w:p>
      <w:pPr>
        <w:pStyle w:val="FirstParagraph"/>
      </w:pPr>
      <w:r>
        <w:t xml:space="preserve">The Product Carbon Footprint (PCF) analysis for pfpyqxqxqz follows a comprehensive lifecycle assessment (LCA) approach, structured according to the five-step methodology recommended by the GHG Protocol Product Standard: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This analysis strictly adheres to the GHG Protocol, categorizing emissions into Scope 1 (direct emissions from owned or controlled sources), Scope 2 (indirect emissions from purchased energy), and Scope 3 (all other indirect emissions in the value chain). Furthermore, it incorporates the principles of the 2026 Land Sector and Removals (LSR) Standard for land use and carbon removals, which takes effect on January 1, 2027. A critical aspect of this report is ensuring at least 95% coverage for Scope 3 reporting, in line with the proposed 2026 requirements, to enhance completeness, consistency, and transparency.</w:t>
      </w:r>
    </w:p>
    <w:p>
      <w:r>
        <w:pict>
          <v:rect style="width:0;height:1.5pt" o:hralign="center" o:hrstd="t" o:hr="t"/>
        </w:pict>
      </w:r>
    </w:p>
    <w:bookmarkEnd w:id="23"/>
    <w:bookmarkStart w:id="24" w:name="defining-the-scope"/>
    <w:p>
      <w:pPr>
        <w:pStyle w:val="Heading2"/>
      </w:pPr>
      <w:r>
        <w:t xml:space="preserve">2. Defining the Scope</w:t>
      </w:r>
    </w:p>
    <w:p>
      <w:pPr>
        <w:pStyle w:val="FirstParagraph"/>
      </w:pPr>
      <w:r>
        <w:t xml:space="preserve">A clear definition of the study\'s scope is fundamental for an accurate and comparable PCF. The parameters for pfpyqxqxqz are defined as follows:</w:t>
      </w:r>
    </w:p>
    <w:p>
      <w:pPr>
        <w:numPr>
          <w:ilvl w:val="0"/>
          <w:numId w:val="1002"/>
        </w:numPr>
        <w:pStyle w:val="Compact"/>
      </w:pPr>
      <w:r>
        <w:rPr>
          <w:bCs/>
          <w:b/>
        </w:rPr>
        <w:t xml:space="preserve">Functional Unit:</w:t>
      </w:r>
      <w:r>
        <w:t xml:space="preserve"> </w:t>
      </w:r>
      <w:r>
        <w:t xml:space="preserve">1.0 unit of pfpyqxqxqz. This represents the reference flow for which environmental impacts are quantified.</w:t>
      </w:r>
    </w:p>
    <w:p>
      <w:pPr>
        <w:numPr>
          <w:ilvl w:val="0"/>
          <w:numId w:val="1002"/>
        </w:numPr>
        <w:pStyle w:val="Compact"/>
      </w:pPr>
      <w:r>
        <w:rPr>
          <w:bCs/>
          <w:b/>
        </w:rPr>
        <w:t xml:space="preserve">System Boundary:</w:t>
      </w:r>
      <w:r>
        <w:t xml:space="preserve"> </w:t>
      </w:r>
      <w:r>
        <w:t xml:space="preserve">factory_gate (Cradle-to-Gate). This boundary includes all upstream processes from raw material extraction, manufacturing of components, and final product assembly up to the point of the product leaving the factory gate. It excludes the use phase and end-of-life treatments of the product itself for this specific boundary.</w:t>
      </w:r>
    </w:p>
    <w:p>
      <w:pPr>
        <w:numPr>
          <w:ilvl w:val="0"/>
          <w:numId w:val="1002"/>
        </w:numPr>
        <w:pStyle w:val="Compact"/>
      </w:pPr>
      <w:r>
        <w:rPr>
          <w:bCs/>
          <w:b/>
        </w:rPr>
        <w:t xml:space="preserve">Geographic Scope:</w:t>
      </w:r>
      <w:r>
        <w:t xml:space="preserve"> </w:t>
      </w:r>
      <w:r>
        <w:t xml:space="preserve">Final Production Country: China, with a Supply Chain Focus on Europe. This specifies the regional context for emission factors and energy grids.</w:t>
      </w:r>
    </w:p>
    <w:p>
      <w:pPr>
        <w:numPr>
          <w:ilvl w:val="0"/>
          <w:numId w:val="1002"/>
        </w:numPr>
        <w:pStyle w:val="Compact"/>
      </w:pPr>
      <w:r>
        <w:rPr>
          <w:bCs/>
          <w:b/>
        </w:rPr>
        <w:t xml:space="preserve">Accounting Standard:</w:t>
      </w:r>
      <w:r>
        <w:t xml:space="preserve"> </w:t>
      </w:r>
      <w:r>
        <w:t xml:space="preserve">GHG Protocol. This report is compliant with the GHG Protocol Product Standard, providing a robust framework for quantifying product lifecycle emissions.</w:t>
      </w:r>
    </w:p>
    <w:p>
      <w:pPr>
        <w:numPr>
          <w:ilvl w:val="0"/>
          <w:numId w:val="1002"/>
        </w:numPr>
        <w:pStyle w:val="Compact"/>
      </w:pPr>
      <w:r>
        <w:rPr>
          <w:bCs/>
          <w:b/>
        </w:rPr>
        <w:t xml:space="preserve">Allocation:</w:t>
      </w:r>
      <w:r>
        <w:t xml:space="preserve"> </w:t>
      </w:r>
      <w:r>
        <w:t xml:space="preserve">Where co-products or by-products occur, emissions are allocated based on physical (mass) or economic allocation, ensuring that the environmental burden is fairly distributed to the functional unit.</w:t>
      </w:r>
    </w:p>
    <w:p>
      <w:r>
        <w:pict>
          <v:rect style="width:0;height:1.5pt" o:hralign="center" o:hrstd="t" o:hr="t"/>
        </w:pict>
      </w:r>
    </w:p>
    <w:bookmarkEnd w:id="24"/>
    <w:bookmarkStart w:id="30" w:name="X77c77e763eb0e7aad4619600a53bfcd0a36988a"/>
    <w:p>
      <w:pPr>
        <w:pStyle w:val="Heading2"/>
      </w:pPr>
      <w:r>
        <w:t xml:space="preserve">3. Lifecycle Mapping and Data Collection (LCI)</w:t>
      </w:r>
    </w:p>
    <w:p>
      <w:pPr>
        <w:pStyle w:val="FirstParagraph"/>
      </w:pPr>
      <w:r>
        <w:t xml:space="preserve">The lifecycle of pfpyqxqxqz is mapped into key stages, and data is collected using a combination of primary (where specified) and secondary (industry-average) sources. Emission factors from reputable databases such as Ecoinvent and DEFRA are utilized for calculation.</w:t>
      </w:r>
    </w:p>
    <w:bookmarkStart w:id="25" w:name="X445c0a28963b5e2cfd0b5d8594e9bc44f537284"/>
    <w:p>
      <w:pPr>
        <w:pStyle w:val="Heading3"/>
      </w:pPr>
      <w:r>
        <w:t xml:space="preserve">Detailed Bill of Materials (BOM): sniouqsr (Illustrative Data)</w:t>
      </w:r>
    </w:p>
    <w:p>
      <w:pPr>
        <w:pStyle w:val="FirstParagraph"/>
      </w:pPr>
      <w:r>
        <w:t xml:space="preserve">The following table provides an illustrative Bill of Materials (BOM) for pfpyqxqxqz, structured according to the specified format. Due to the placeholder nature of \'sniouqsr\' in the prompt, these are example values used for demonstration and calculation purposes. These specific values, including the individual \'Emission Factor\' and \'Total Carbon\' for each item, are directly incorporated into the material impact calculations.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 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 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0.15 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3.0</w:t>
            </w:r>
          </w:p>
        </w:tc>
        <w:tc>
          <w:tcPr/>
          <w:p>
            <w:pPr>
              <w:pStyle w:val="Compact"/>
              <w:jc w:val="left"/>
            </w:pPr>
            <w:r>
              <w:t xml:space="preserve">0.15</w:t>
            </w:r>
          </w:p>
        </w:tc>
      </w:tr>
      <w:tr>
        <w:tc>
          <w:tcPr>
            <w:gridSpan w:val="6"/>
          </w:tcPr>
          <w:p>
            <w:pPr>
              <w:pStyle w:val="Compact"/>
              <w:jc w:val="right"/>
            </w:pPr>
            <w:r>
              <w:rPr>
                <w:bCs/>
                <w:b/>
              </w:rPr>
              <w:t xml:space="preserve">Total Raw Material Carbon Impact (kg CO2e):</w:t>
            </w:r>
          </w:p>
        </w:tc>
        <w:tc>
          <w:tcPr/>
          <w:p>
            <w:pPr>
              <w:pStyle w:val="Compact"/>
              <w:jc w:val="left"/>
            </w:pPr>
            <w:r>
              <w:rPr>
                <w:bCs/>
                <w:b/>
              </w:rPr>
              <w:t xml:space="preserve">3.76</w:t>
            </w:r>
          </w:p>
        </w:tc>
      </w:tr>
    </w:tbl>
    <w:p>
      <w:pPr>
        <w:pStyle w:val="BodyText"/>
      </w:pPr>
      <w:r>
        <w:rPr>
          <w:iCs/>
          <w:i/>
        </w:rPr>
        <w:t xml:space="preserve">Note: The "Emission Factor" and "Total Carbon" values for each BOM item are illustrative and reflect typical values for their respective categories and processes, derived from proxy data where specific \'sniouqsr\' input for these values was not provided in a parseable format.</w:t>
      </w:r>
    </w:p>
    <w:bookmarkEnd w:id="25"/>
    <w:bookmarkStart w:id="26" w:name="production-energy-inputs"/>
    <w:p>
      <w:pPr>
        <w:pStyle w:val="Heading3"/>
      </w:pPr>
      <w:r>
        <w:t xml:space="preserve">Production Energy Inputs</w:t>
      </w:r>
    </w:p>
    <w:p>
      <w:pPr>
        <w:numPr>
          <w:ilvl w:val="0"/>
          <w:numId w:val="1003"/>
        </w:numPr>
        <w:pStyle w:val="Compact"/>
      </w:pPr>
      <w:r>
        <w:rPr>
          <w:bCs/>
          <w:b/>
        </w:rPr>
        <w:t xml:space="preserve">Energy Intensity (kWh/unit):</w:t>
      </w:r>
      <w:r>
        <w:t xml:space="preserve"> </w:t>
      </w:r>
      <w:r>
        <w:t xml:space="preserve">rphrwnwedr (Illustrative: 10 kWh/unit)</w:t>
      </w:r>
    </w:p>
    <w:p>
      <w:pPr>
        <w:numPr>
          <w:ilvl w:val="0"/>
          <w:numId w:val="1003"/>
        </w:numPr>
        <w:pStyle w:val="Compact"/>
      </w:pPr>
      <w:r>
        <w:rPr>
          <w:bCs/>
          <w:b/>
        </w:rPr>
        <w:t xml:space="preserve">Renewable Energy Usage:</w:t>
      </w:r>
      <w:r>
        <w:t xml:space="preserve"> </w:t>
      </w:r>
      <w:r>
        <w:t xml:space="preserve">hxyxxdzwef (Illustrative: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Electricity Grid Emission Factor (China):</w:t>
      </w:r>
      <w:r>
        <w:t xml:space="preserve"> </w:t>
      </w:r>
      <w:r>
        <w:t xml:space="preserve">0.570 kg CO2e/kWh (Average for 2024-2025, based on national grid mixes).</w:t>
      </w:r>
    </w:p>
    <w:bookmarkEnd w:id="26"/>
    <w:bookmarkStart w:id="27" w:name="logistics-data-illustrative"/>
    <w:p>
      <w:pPr>
        <w:pStyle w:val="Heading3"/>
      </w:pPr>
      <w:r>
        <w:t xml:space="preserve">Logistics Data (Illustrative)</w:t>
      </w:r>
    </w:p>
    <w:p>
      <w:pPr>
        <w:pStyle w:val="FirstParagraph"/>
      </w:pPr>
      <w:r>
        <w:t xml:space="preserve">The following data points are used for supply chain analysis, assuming typical values for the provided parameters:</w:t>
      </w:r>
    </w:p>
    <w:p>
      <w:pPr>
        <w:numPr>
          <w:ilvl w:val="0"/>
          <w:numId w:val="1004"/>
        </w:numPr>
        <w:pStyle w:val="Compact"/>
      </w:pPr>
      <w:r>
        <w:rPr>
          <w:bCs/>
          <w:b/>
        </w:rPr>
        <w:t xml:space="preserve">Primary Transport Mode (Select Mode):</w:t>
      </w:r>
      <w:r>
        <w:t xml:space="preserve"> </w:t>
      </w:r>
      <w:r>
        <w:t xml:space="preserve">Road Freight (Heavy Goods Vehicle, 16-32 tonne, average laden).</w:t>
      </w:r>
    </w:p>
    <w:p>
      <w:pPr>
        <w:numPr>
          <w:ilvl w:val="0"/>
          <w:numId w:val="1004"/>
        </w:numPr>
        <w:pStyle w:val="Compact"/>
      </w:pPr>
      <w:r>
        <w:rPr>
          <w:bCs/>
          <w:b/>
        </w:rPr>
        <w:t xml:space="preserve">Primary Transport Distance (gpoueooeid):</w:t>
      </w:r>
      <w:r>
        <w:t xml:space="preserve"> </w:t>
      </w:r>
      <w:r>
        <w:t xml:space="preserve">2000 km (representative for Europe-focused supply chain to China factory gate).</w:t>
      </w:r>
    </w:p>
    <w:p>
      <w:pPr>
        <w:numPr>
          <w:ilvl w:val="0"/>
          <w:numId w:val="1004"/>
        </w:numPr>
        <w:pStyle w:val="Compact"/>
      </w:pPr>
      <w:r>
        <w:rPr>
          <w:bCs/>
          <w:b/>
        </w:rPr>
        <w:t xml:space="preserve">Last-Mile Delivery Channel (Delivery Type):</w:t>
      </w:r>
      <w:r>
        <w:t xml:space="preserve"> </w:t>
      </w:r>
      <w:r>
        <w:t xml:space="preserve">Last-Mile Van Delivery (Diesel).</w:t>
      </w:r>
    </w:p>
    <w:p>
      <w:pPr>
        <w:numPr>
          <w:ilvl w:val="0"/>
          <w:numId w:val="1004"/>
        </w:numPr>
        <w:pStyle w:val="Compact"/>
      </w:pPr>
      <w:r>
        <w:rPr>
          <w:bCs/>
          <w:b/>
        </w:rPr>
        <w:t xml:space="preserve">Last-Mile Delivery Distance:</w:t>
      </w:r>
      <w:r>
        <w:t xml:space="preserve"> </w:t>
      </w:r>
      <w:r>
        <w:t xml:space="preserve">50 km.</w:t>
      </w:r>
    </w:p>
    <w:p>
      <w:pPr>
        <w:numPr>
          <w:ilvl w:val="0"/>
          <w:numId w:val="1004"/>
        </w:numPr>
        <w:pStyle w:val="Compact"/>
      </w:pPr>
      <w:r>
        <w:rPr>
          <w:bCs/>
          <w:b/>
        </w:rPr>
        <w:t xml:space="preserve">Transport Emission Factor (Road Freight):</w:t>
      </w:r>
      <w:r>
        <w:t xml:space="preserve"> </w:t>
      </w:r>
      <w:r>
        <w:t xml:space="preserve">0.08 kg CO2e/tonne-km (illustrative, based on DEFRA data for average laden HGV).</w:t>
      </w:r>
    </w:p>
    <w:p>
      <w:pPr>
        <w:numPr>
          <w:ilvl w:val="0"/>
          <w:numId w:val="1004"/>
        </w:numPr>
        <w:pStyle w:val="Compact"/>
      </w:pPr>
      <w:r>
        <w:rPr>
          <w:bCs/>
          <w:b/>
        </w:rPr>
        <w:t xml:space="preserve">Transport Emission Factor (Last-Mile Van):</w:t>
      </w:r>
      <w:r>
        <w:t xml:space="preserve"> </w:t>
      </w:r>
      <w:r>
        <w:t xml:space="preserve">0.15 kg CO2e/tonne-km (illustrative, based on DEFRA data).</w:t>
      </w:r>
    </w:p>
    <w:bookmarkEnd w:id="27"/>
    <w:bookmarkStart w:id="28" w:name="Xc3d1e5e2c600479a160f205bebb4238d271d15e"/>
    <w:p>
      <w:pPr>
        <w:pStyle w:val="Heading3"/>
      </w:pPr>
      <w:r>
        <w:t xml:space="preserve">Use Phase Data (Applicable for full lifecycle PCF, beyond factory_gate boundary)</w:t>
      </w:r>
    </w:p>
    <w:p>
      <w:pPr>
        <w:pStyle w:val="FirstParagraph"/>
      </w:pPr>
      <w:r>
        <w:t xml:space="preserve">While the system boundary for this report is \'factory_gate\', for completeness and future-proofing, the use phase parameters are captured:</w:t>
      </w:r>
    </w:p>
    <w:p>
      <w:pPr>
        <w:numPr>
          <w:ilvl w:val="0"/>
          <w:numId w:val="1005"/>
        </w:numPr>
        <w:pStyle w:val="Compact"/>
      </w:pPr>
      <w:r>
        <w:rPr>
          <w:bCs/>
          <w:b/>
        </w:rPr>
        <w:t xml:space="preserve">Product Lifespan (utzttekkhn):</w:t>
      </w:r>
      <w:r>
        <w:t xml:space="preserve"> </w:t>
      </w:r>
      <w:r>
        <w:t xml:space="preserve">5 years</w:t>
      </w:r>
    </w:p>
    <w:p>
      <w:pPr>
        <w:numPr>
          <w:ilvl w:val="0"/>
          <w:numId w:val="1005"/>
        </w:numPr>
        <w:pStyle w:val="Compact"/>
      </w:pPr>
      <w:r>
        <w:rPr>
          <w:bCs/>
          <w:b/>
        </w:rPr>
        <w:t xml:space="preserve">Energy Consumption in Use (phsvfxqxnd):</w:t>
      </w:r>
      <w:r>
        <w:t xml:space="preserve"> </w:t>
      </w:r>
      <w:r>
        <w:t xml:space="preserve">20 kWh/year</w:t>
      </w:r>
    </w:p>
    <w:bookmarkEnd w:id="28"/>
    <w:bookmarkStart w:id="29" w:name="Xdaa6f17bea76ee72a5111b2fa801184004c645b"/>
    <w:p>
      <w:pPr>
        <w:pStyle w:val="Heading3"/>
      </w:pPr>
      <w:r>
        <w:t xml:space="preserve">End-of-Life (EoL) Scenarios (Applicable for full lifecycle PCF, beyond factory_gate boundary)</w:t>
      </w:r>
    </w:p>
    <w:p>
      <w:pPr>
        <w:pStyle w:val="FirstParagraph"/>
      </w:pPr>
      <w:r>
        <w:t xml:space="preserve">Similar to the use phase, EoL scenarios are considered for a holistic view:</w:t>
      </w:r>
    </w:p>
    <w:p>
      <w:pPr>
        <w:numPr>
          <w:ilvl w:val="0"/>
          <w:numId w:val="1006"/>
        </w:numPr>
        <w:pStyle w:val="Compact"/>
      </w:pPr>
      <w:r>
        <w:rPr>
          <w:bCs/>
          <w:b/>
        </w:rPr>
        <w:t xml:space="preserve">Recyclability Percentage (toklrudyuq):</w:t>
      </w:r>
      <w:r>
        <w:t xml:space="preserve"> </w:t>
      </w:r>
      <w:r>
        <w:t xml:space="preserve">80% (indicates potential for material recovery).</w:t>
      </w:r>
    </w:p>
    <w:p>
      <w:pPr>
        <w:numPr>
          <w:ilvl w:val="0"/>
          <w:numId w:val="1006"/>
        </w:numPr>
        <w:pStyle w:val="Compact"/>
      </w:pPr>
      <w:r>
        <w:rPr>
          <w:bCs/>
          <w:b/>
        </w:rPr>
        <w:t xml:space="preserve">Circular/Take-back Programs (twtqsgyimi):</w:t>
      </w:r>
      <w:r>
        <w:t xml:space="preserve"> </w:t>
      </w:r>
      <w:r>
        <w:t xml:space="preserve">Active (implies systems in place for collection and processing).</w:t>
      </w:r>
    </w:p>
    <w:p>
      <w:pPr>
        <w:numPr>
          <w:ilvl w:val="0"/>
          <w:numId w:val="1006"/>
        </w:numPr>
        <w:pStyle w:val="Compact"/>
      </w:pPr>
      <w:r>
        <w:rPr>
          <w:bCs/>
          <w:b/>
        </w:rPr>
        <w:t xml:space="preserve">EoL Disposal (Landfill) Emission Factor:</w:t>
      </w:r>
      <w:r>
        <w:t xml:space="preserve"> </w:t>
      </w:r>
      <w:r>
        <w:t xml:space="preserve">0.05 kg CO2e/kg (illustrative for non-recycled waste).</w:t>
      </w:r>
    </w:p>
    <w:p>
      <w:pPr>
        <w:numPr>
          <w:ilvl w:val="0"/>
          <w:numId w:val="1006"/>
        </w:numPr>
        <w:pStyle w:val="Compact"/>
      </w:pPr>
      <w:r>
        <w:rPr>
          <w:bCs/>
          <w:b/>
        </w:rPr>
        <w:t xml:space="preserve">EoL Recycling Benefit (Illustrative Average):</w:t>
      </w:r>
      <w:r>
        <w:t xml:space="preserve"> </w:t>
      </w:r>
      <w:r>
        <w:t xml:space="preserve">-0.5 kg CO2e/kg (reflects avoided virgin material production).</w:t>
      </w:r>
    </w:p>
    <w:p>
      <w:r>
        <w:pict>
          <v:rect style="width:0;height:1.5pt" o:hralign="center" o:hrstd="t" o:hr="t"/>
        </w:pict>
      </w:r>
    </w:p>
    <w:bookmarkEnd w:id="29"/>
    <w:bookmarkEnd w:id="30"/>
    <w:bookmarkStart w:id="44" w:name="Xdd1c2ba429305467bad58a0828410d9d0fce25c"/>
    <w:p>
      <w:pPr>
        <w:pStyle w:val="Heading2"/>
      </w:pPr>
      <w:r>
        <w:t xml:space="preserve">4. Emissions Calculation (Activity * Emission Factor = CO2e)</w:t>
      </w:r>
    </w:p>
    <w:p>
      <w:pPr>
        <w:pStyle w:val="FirstParagraph"/>
      </w:pPr>
      <w:r>
        <w:t xml:space="preserve">Emissions are calculated for each stage within the \'factory_gate\' boundary and categorized according to the GHG Protocol scopes. Illustrative calculations are provided based on the data points and emission factors mentioned above.</w:t>
      </w:r>
    </w:p>
    <w:bookmarkStart w:id="31" w:name="Xc326bb6512a58eb0262c22317fd514bd5e1be15"/>
    <w:p>
      <w:pPr>
        <w:pStyle w:val="Heading3"/>
      </w:pPr>
      <w:r>
        <w:t xml:space="preserve">Scope 1: Direct Emissions (Owned or Controlled Sources)</w:t>
      </w:r>
    </w:p>
    <w:p>
      <w:pPr>
        <w:pStyle w:val="FirstParagraph"/>
      </w:pPr>
      <w:r>
        <w:t xml:space="preserve">For a \'factory_gate\' system boundary focused on product manufacturing, Scope 1 emissions typically arise from direct fuel combustion in owned vehicles or facilities, and process emissions. Assuming the primary production processes are electricity-driven or outsourced to suppliers (captured in Scope 3) and direct fuel combustion onsite for process heat or company vehicles is minimal or included in Scope 2/3 as indirect emissions, we estimate</w:t>
      </w:r>
      <w:r>
        <w:t xml:space="preserve"> </w:t>
      </w:r>
      <w:r>
        <w:rPr>
          <w:bCs/>
          <w:b/>
        </w:rPr>
        <w:t xml:space="preserve">Scope 1 emissions to be negligible</w:t>
      </w:r>
      <w:r>
        <w:t xml:space="preserve"> </w:t>
      </w:r>
      <w:r>
        <w:t xml:space="preserve">for this product\'s manufacturing process within the defined boundary, unless specific onsite fuel consumption data is provided.</w:t>
      </w:r>
    </w:p>
    <w:p>
      <w:pPr>
        <w:pStyle w:val="BodyText"/>
      </w:pPr>
      <w:r>
        <w:rPr>
          <w:bCs/>
          <w:b/>
        </w:rPr>
        <w:t xml:space="preserve">Illustrative Scope 1 Emissions: 0.00 kg CO2e/unit</w:t>
      </w:r>
    </w:p>
    <w:bookmarkEnd w:id="31"/>
    <w:bookmarkStart w:id="32" w:name="Xab26876746784c6f106cdbd7a05735957bff4a9"/>
    <w:p>
      <w:pPr>
        <w:pStyle w:val="Heading3"/>
      </w:pPr>
      <w:r>
        <w:t xml:space="preserve">Scope 2: Indirect Emissions (Purchased Electricity)</w:t>
      </w:r>
    </w:p>
    <w:p>
      <w:pPr>
        <w:pStyle w:val="FirstParagraph"/>
      </w:pPr>
      <w:r>
        <w:t xml:space="preserve">Scope 2 emissions account for greenhouse gases released from the generation of purchased electricity consumed by xryrrfegjh\'s manufacturing operations in China.</w:t>
      </w:r>
    </w:p>
    <w:p>
      <w:pPr>
        <w:numPr>
          <w:ilvl w:val="0"/>
          <w:numId w:val="1007"/>
        </w:numPr>
        <w:pStyle w:val="Compact"/>
      </w:pPr>
      <w:r>
        <w:rPr>
          <w:bCs/>
          <w:b/>
        </w:rPr>
        <w:t xml:space="preserve">Energy Intensity:</w:t>
      </w:r>
      <w:r>
        <w:t xml:space="preserve"> </w:t>
      </w:r>
      <w:r>
        <w:t xml:space="preserve">10 kWh/unit</w:t>
      </w:r>
    </w:p>
    <w:p>
      <w:pPr>
        <w:numPr>
          <w:ilvl w:val="0"/>
          <w:numId w:val="1007"/>
        </w:numPr>
        <w:pStyle w:val="Compact"/>
      </w:pPr>
      <w:r>
        <w:rPr>
          <w:bCs/>
          <w:b/>
        </w:rPr>
        <w:t xml:space="preserve">Renewable Energy Usage:</w:t>
      </w:r>
      <w:r>
        <w:t xml:space="preserve"> </w:t>
      </w:r>
      <w:r>
        <w:t xml:space="preserve">50% (This portion of energy is assumed to have zero or near-zero operational emissions at the point of consumption, though upstream grid infrastructure emissions may still apply, usually covered by market-based accounting or residual mix factors. For location-based accounting, if the renewable energy is sourced directly and verifiable, it can reduce the emissions).</w:t>
      </w:r>
    </w:p>
    <w:p>
      <w:pPr>
        <w:numPr>
          <w:ilvl w:val="0"/>
          <w:numId w:val="1007"/>
        </w:numPr>
        <w:pStyle w:val="Compact"/>
      </w:pPr>
      <w:r>
        <w:rPr>
          <w:bCs/>
          <w:b/>
        </w:rPr>
        <w:t xml:space="preserve">Non-Renewable Electricity Used:</w:t>
      </w:r>
      <w:r>
        <w:t xml:space="preserve"> </w:t>
      </w:r>
      <w:r>
        <w:t xml:space="preserve">10 kWh/unit * (1 - 0.50) = 5 kWh/unit</w:t>
      </w:r>
    </w:p>
    <w:p>
      <w:pPr>
        <w:numPr>
          <w:ilvl w:val="0"/>
          <w:numId w:val="1007"/>
        </w:numPr>
        <w:pStyle w:val="Compact"/>
      </w:pPr>
      <w:r>
        <w:rPr>
          <w:bCs/>
          <w:b/>
        </w:rPr>
        <w:t xml:space="preserve">China Grid Emission Factor:</w:t>
      </w:r>
      <w:r>
        <w:t xml:space="preserve"> </w:t>
      </w:r>
      <w:r>
        <w:t xml:space="preserve">0.570 kg CO2e/kWh</w:t>
      </w:r>
    </w:p>
    <w:p>
      <w:pPr>
        <w:pStyle w:val="FirstParagraph"/>
      </w:pPr>
      <w:r>
        <w:rPr>
          <w:bCs/>
          <w:b/>
        </w:rPr>
        <w:t xml:space="preserve">Calculation:</w:t>
      </w:r>
      <w:r>
        <w:t xml:space="preserve"> </w:t>
      </w:r>
      <w:r>
        <w:t xml:space="preserve">5 kWh/unit * 0.570 kg CO2e/kWh = 2.85 kg CO2e/unit</w:t>
      </w:r>
    </w:p>
    <w:p>
      <w:pPr>
        <w:pStyle w:val="BodyText"/>
      </w:pPr>
      <w:r>
        <w:rPr>
          <w:bCs/>
          <w:b/>
        </w:rPr>
        <w:t xml:space="preserve">Illustrative Scope 2 Emissions: 2.85 kg CO2e/unit</w:t>
      </w:r>
    </w:p>
    <w:bookmarkEnd w:id="32"/>
    <w:bookmarkStart w:id="39" w:name="scope-3-value-chain-emissions"/>
    <w:p>
      <w:pPr>
        <w:pStyle w:val="Heading3"/>
      </w:pPr>
      <w:r>
        <w:t xml:space="preserve">Scope 3: Value Chain Emissions</w:t>
      </w:r>
    </w:p>
    <w:p>
      <w:pPr>
        <w:pStyle w:val="FirstParagraph"/>
      </w:pPr>
      <w:r>
        <w:t xml:space="preserve">Scope 3 emissions encompass all other indirect emissions occurring in the value chain, both upstream and downstream. For a \'factory_gate\' boundary, this primarily includes upstream activities such as raw material extraction and processing, and upstream transportation and distribution.</w:t>
      </w:r>
    </w:p>
    <w:bookmarkStart w:id="33" w:name="X5f7307888995c591443d5f3c58ad6c538a2d1ed"/>
    <w:p>
      <w:pPr>
        <w:pStyle w:val="Heading4"/>
      </w:pPr>
      <w:r>
        <w:t xml:space="preserve">3.1. Raw Materials (Purchased Goods and Services - Category 1)</w:t>
      </w:r>
    </w:p>
    <w:p>
      <w:pPr>
        <w:pStyle w:val="FirstParagraph"/>
      </w:pPr>
      <w:r>
        <w:t xml:space="preserve">Based on the illustrative BOM, the total carbon impact from raw materials is:</w:t>
      </w:r>
    </w:p>
    <w:p>
      <w:pPr>
        <w:pStyle w:val="BodyText"/>
      </w:pPr>
      <w:r>
        <w:rPr>
          <w:bCs/>
          <w:b/>
        </w:rPr>
        <w:t xml:space="preserve">Illustrative Raw Material Emissions: 3.76 kg CO2e/unit</w:t>
      </w:r>
    </w:p>
    <w:bookmarkEnd w:id="33"/>
    <w:bookmarkStart w:id="34" w:name="X1ba14597aa58affb2f1bc7a69940c64f4addd9d"/>
    <w:p>
      <w:pPr>
        <w:pStyle w:val="Heading4"/>
      </w:pPr>
      <w:r>
        <w:t xml:space="preserve">3.2. Upstream Transportation and Distribution (Category 4)</w:t>
      </w:r>
    </w:p>
    <w:p>
      <w:pPr>
        <w:pStyle w:val="FirstParagraph"/>
      </w:pPr>
      <w:r>
        <w:t xml:space="preserve">This includes transportation of raw materials and components to the manufacturing facility in China, primarily from Europe.</w:t>
      </w:r>
    </w:p>
    <w:p>
      <w:pPr>
        <w:numPr>
          <w:ilvl w:val="0"/>
          <w:numId w:val="1008"/>
        </w:numPr>
        <w:pStyle w:val="Compact"/>
      </w:pPr>
      <w:r>
        <w:rPr>
          <w:bCs/>
          <w:b/>
        </w:rPr>
        <w:t xml:space="preserve">Total Mass of Components:</w:t>
      </w:r>
      <w:r>
        <w:t xml:space="preserve"> </w:t>
      </w:r>
      <w:r>
        <w:t xml:space="preserve">(0.8 kg + 0.3 kg + 1 unit* + 0.15 kg + 0.05 kg) = 1.3 kg + mass of electronic board. Assuming an electronic board weighs ~0.1 kg for calculation. Total mass = 1.4 kg.</w:t>
      </w:r>
    </w:p>
    <w:p>
      <w:pPr>
        <w:numPr>
          <w:ilvl w:val="0"/>
          <w:numId w:val="1008"/>
        </w:numPr>
        <w:pStyle w:val="Compact"/>
      </w:pPr>
      <w:r>
        <w:rPr>
          <w:bCs/>
          <w:b/>
        </w:rPr>
        <w:t xml:space="preserve">Transport Distance:</w:t>
      </w:r>
      <w:r>
        <w:t xml:space="preserve"> </w:t>
      </w:r>
      <w:r>
        <w:t xml:space="preserve">2000 km</w:t>
      </w:r>
    </w:p>
    <w:p>
      <w:pPr>
        <w:numPr>
          <w:ilvl w:val="0"/>
          <w:numId w:val="1008"/>
        </w:numPr>
        <w:pStyle w:val="Compact"/>
      </w:pPr>
      <w:r>
        <w:rPr>
          <w:bCs/>
          <w:b/>
        </w:rPr>
        <w:t xml:space="preserve">Transport Mode:</w:t>
      </w:r>
      <w:r>
        <w:t xml:space="preserve"> </w:t>
      </w:r>
      <w:r>
        <w:t xml:space="preserve">Road Freight (HGV, 16-32t, average laden)</w:t>
      </w:r>
    </w:p>
    <w:p>
      <w:pPr>
        <w:numPr>
          <w:ilvl w:val="0"/>
          <w:numId w:val="1008"/>
        </w:numPr>
        <w:pStyle w:val="Compact"/>
      </w:pPr>
      <w:r>
        <w:rPr>
          <w:bCs/>
          <w:b/>
        </w:rPr>
        <w:t xml:space="preserve">Transport Emission Factor:</w:t>
      </w:r>
      <w:r>
        <w:t xml:space="preserve"> </w:t>
      </w:r>
      <w:r>
        <w:t xml:space="preserve">0.08 kg CO2e/tonne-km</w:t>
      </w:r>
    </w:p>
    <w:p>
      <w:pPr>
        <w:pStyle w:val="FirstParagraph"/>
      </w:pPr>
      <w:r>
        <w:rPr>
          <w:bCs/>
          <w:b/>
        </w:rPr>
        <w:t xml:space="preserve">Calculation:</w:t>
      </w:r>
      <w:r>
        <w:t xml:space="preserve"> </w:t>
      </w:r>
      <w:r>
        <w:t xml:space="preserve">(1.4 kg / 1000 kg/tonne) * 2000 km * 0.08 kg CO2e/tonne-km = 0.224 kg CO2e/unit</w:t>
      </w:r>
    </w:p>
    <w:p>
      <w:pPr>
        <w:pStyle w:val="BodyText"/>
      </w:pPr>
      <w:r>
        <w:rPr>
          <w:bCs/>
          <w:b/>
        </w:rPr>
        <w:t xml:space="preserve">Illustrative Upstream Transport Emissions: 0.224 kg CO2e/unit</w:t>
      </w:r>
    </w:p>
    <w:bookmarkEnd w:id="34"/>
    <w:bookmarkStart w:id="35" w:name="X53b08cfba2cbfc6888fe8ac8be7bb703997778b"/>
    <w:p>
      <w:pPr>
        <w:pStyle w:val="Heading4"/>
      </w:pPr>
      <w:r>
        <w:t xml:space="preserve">3.3. Downstream Transportation and Distribution (Category 9) - Last Mile (Illustrative for Post-Gate impact)</w:t>
      </w:r>
    </w:p>
    <w:p>
      <w:pPr>
        <w:pStyle w:val="FirstParagraph"/>
      </w:pPr>
      <w:r>
        <w:t xml:space="preserve">While outside the strict \'factory_gate\' boundary, last-mile delivery is often considered for a more complete PCF. If the product is delivered directly to the customer after leaving the factory, this would be a relevant Scope 3 emission.</w:t>
      </w:r>
    </w:p>
    <w:p>
      <w:pPr>
        <w:numPr>
          <w:ilvl w:val="0"/>
          <w:numId w:val="1009"/>
        </w:numPr>
        <w:pStyle w:val="Compact"/>
      </w:pPr>
      <w:r>
        <w:rPr>
          <w:bCs/>
          <w:b/>
        </w:rPr>
        <w:t xml:space="preserve">Product Mass (approximated total):</w:t>
      </w:r>
      <w:r>
        <w:t xml:space="preserve"> </w:t>
      </w:r>
      <w:r>
        <w:t xml:space="preserve">1.4 kg (as above)</w:t>
      </w:r>
    </w:p>
    <w:p>
      <w:pPr>
        <w:numPr>
          <w:ilvl w:val="0"/>
          <w:numId w:val="1009"/>
        </w:numPr>
        <w:pStyle w:val="Compact"/>
      </w:pPr>
      <w:r>
        <w:rPr>
          <w:bCs/>
          <w:b/>
        </w:rPr>
        <w:t xml:space="preserve">Last-Mile Distance:</w:t>
      </w:r>
      <w:r>
        <w:t xml:space="preserve"> </w:t>
      </w:r>
      <w:r>
        <w:t xml:space="preserve">50 km</w:t>
      </w:r>
    </w:p>
    <w:p>
      <w:pPr>
        <w:numPr>
          <w:ilvl w:val="0"/>
          <w:numId w:val="1009"/>
        </w:numPr>
        <w:pStyle w:val="Compact"/>
      </w:pPr>
      <w:r>
        <w:rPr>
          <w:bCs/>
          <w:b/>
        </w:rPr>
        <w:t xml:space="preserve">Last-Mile Mode:</w:t>
      </w:r>
      <w:r>
        <w:t xml:space="preserve"> </w:t>
      </w:r>
      <w:r>
        <w:t xml:space="preserve">Last-Mile Van Delivery (Diesel)</w:t>
      </w:r>
    </w:p>
    <w:p>
      <w:pPr>
        <w:numPr>
          <w:ilvl w:val="0"/>
          <w:numId w:val="1009"/>
        </w:numPr>
        <w:pStyle w:val="Compact"/>
      </w:pPr>
      <w:r>
        <w:rPr>
          <w:bCs/>
          <w:b/>
        </w:rPr>
        <w:t xml:space="preserve">Last-Mile Emission Factor:</w:t>
      </w:r>
      <w:r>
        <w:t xml:space="preserve"> </w:t>
      </w:r>
      <w:r>
        <w:t xml:space="preserve">0.15 kg CO2e/tonne-km</w:t>
      </w:r>
    </w:p>
    <w:p>
      <w:pPr>
        <w:pStyle w:val="FirstParagraph"/>
      </w:pPr>
      <w:r>
        <w:rPr>
          <w:bCs/>
          <w:b/>
        </w:rPr>
        <w:t xml:space="preserve">Calculation:</w:t>
      </w:r>
      <w:r>
        <w:t xml:space="preserve"> </w:t>
      </w:r>
      <w:r>
        <w:t xml:space="preserve">(1.4 kg / 1000 kg/tonne) * 50 km * 0.15 kg CO2e/tonne-km = 0.0105 kg CO2e/unit</w:t>
      </w:r>
    </w:p>
    <w:p>
      <w:pPr>
        <w:pStyle w:val="BodyText"/>
      </w:pPr>
      <w:r>
        <w:rPr>
          <w:bCs/>
          <w:b/>
        </w:rPr>
        <w:t xml:space="preserve">Illustrative Downstream Last-Mile Transport Emissions (post-gate): 0.0105 kg CO2e/unit</w:t>
      </w:r>
    </w:p>
    <w:bookmarkEnd w:id="35"/>
    <w:bookmarkStart w:id="36" w:name="X2cc30592f0a387886c462a1101c0b256742de7c"/>
    <w:p>
      <w:pPr>
        <w:pStyle w:val="Heading4"/>
      </w:pPr>
      <w:r>
        <w:t xml:space="preserve">3.4. Use Phase (Category 11) - (Illustrative for Post-Gate impact)</w:t>
      </w:r>
    </w:p>
    <w:p>
      <w:pPr>
        <w:pStyle w:val="FirstParagraph"/>
      </w:pPr>
      <w:r>
        <w:t xml:space="preserve">As per the provided parameters, energy consumption during the product\'s use phase is significant.</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20 kWh/year</w:t>
      </w:r>
    </w:p>
    <w:p>
      <w:pPr>
        <w:numPr>
          <w:ilvl w:val="0"/>
          <w:numId w:val="1010"/>
        </w:numPr>
        <w:pStyle w:val="Compact"/>
      </w:pPr>
      <w:r>
        <w:rPr>
          <w:bCs/>
          <w:b/>
        </w:rPr>
        <w:t xml:space="preserve">European Electricity Grid Emission Factor (Illustrative, as supply chain focus is Europe):</w:t>
      </w:r>
      <w:r>
        <w:t xml:space="preserve"> </w:t>
      </w:r>
      <w:r>
        <w:t xml:space="preserve">0.250 kg CO2e/kWh (conservative average for Europe 2024-2025).</w:t>
      </w:r>
    </w:p>
    <w:p>
      <w:pPr>
        <w:pStyle w:val="FirstParagraph"/>
      </w:pPr>
      <w:r>
        <w:rPr>
          <w:bCs/>
          <w:b/>
        </w:rPr>
        <w:t xml:space="preserve">Calculation:</w:t>
      </w:r>
      <w:r>
        <w:t xml:space="preserve"> </w:t>
      </w:r>
      <w:r>
        <w:t xml:space="preserve">(20 kWh/year * 5 years) * 0.250 kg CO2e/kWh = 100 kWh * 0.250 kg CO2e/kWh = 25.0 kg CO2e/unit</w:t>
      </w:r>
    </w:p>
    <w:p>
      <w:pPr>
        <w:pStyle w:val="BodyText"/>
      </w:pPr>
      <w:r>
        <w:rPr>
          <w:bCs/>
          <w:b/>
        </w:rPr>
        <w:t xml:space="preserve">Illustrative Use Phase Emissions (post-gate): 25.0 kg CO2e/unit</w:t>
      </w:r>
    </w:p>
    <w:bookmarkEnd w:id="36"/>
    <w:bookmarkStart w:id="37" w:name="X2ae4ec95cf7d64f33a2e38bbc00d07eae482d97"/>
    <w:p>
      <w:pPr>
        <w:pStyle w:val="Heading4"/>
      </w:pPr>
      <w:r>
        <w:t xml:space="preserve">3.5. End-of-Life Treatment of Sold Products (Category 12) - (Illustrative for Post-Gate impact)</w:t>
      </w:r>
    </w:p>
    <w:p>
      <w:pPr>
        <w:pStyle w:val="FirstParagraph"/>
      </w:pPr>
      <w:r>
        <w:t xml:space="preserve">Considering the recyclability percentage and circular programs.</w:t>
      </w:r>
    </w:p>
    <w:p>
      <w:pPr>
        <w:numPr>
          <w:ilvl w:val="0"/>
          <w:numId w:val="1011"/>
        </w:numPr>
        <w:pStyle w:val="Compact"/>
      </w:pPr>
      <w:r>
        <w:rPr>
          <w:bCs/>
          <w:b/>
        </w:rPr>
        <w:t xml:space="preserve">Total Product Mass:</w:t>
      </w:r>
      <w:r>
        <w:t xml:space="preserve"> </w:t>
      </w:r>
      <w:r>
        <w:t xml:space="preserve">1.4 kg</w:t>
      </w:r>
    </w:p>
    <w:p>
      <w:pPr>
        <w:numPr>
          <w:ilvl w:val="0"/>
          <w:numId w:val="1011"/>
        </w:numPr>
        <w:pStyle w:val="Compact"/>
      </w:pPr>
      <w:r>
        <w:rPr>
          <w:bCs/>
          <w:b/>
        </w:rPr>
        <w:t xml:space="preserve">Recyclability Percentage:</w:t>
      </w:r>
      <w:r>
        <w:t xml:space="preserve"> </w:t>
      </w:r>
      <w:r>
        <w:t xml:space="preserve">80%</w:t>
      </w:r>
    </w:p>
    <w:p>
      <w:pPr>
        <w:numPr>
          <w:ilvl w:val="0"/>
          <w:numId w:val="1011"/>
        </w:numPr>
        <w:pStyle w:val="Compact"/>
      </w:pPr>
      <w:r>
        <w:rPr>
          <w:bCs/>
          <w:b/>
        </w:rPr>
        <w:t xml:space="preserve">Circular/Take-back Programs:</w:t>
      </w:r>
      <w:r>
        <w:t xml:space="preserve"> </w:t>
      </w:r>
      <w:r>
        <w:t xml:space="preserve">Active</w:t>
      </w:r>
    </w:p>
    <w:p>
      <w:pPr>
        <w:pStyle w:val="FirstParagraph"/>
      </w:pPr>
      <w:r>
        <w:t xml:space="preserve">Assuming 80% of the material is recycled due to active programs, and 20% goes to landfill.</w:t>
      </w:r>
    </w:p>
    <w:p>
      <w:pPr>
        <w:numPr>
          <w:ilvl w:val="0"/>
          <w:numId w:val="1012"/>
        </w:numPr>
        <w:pStyle w:val="Compact"/>
      </w:pPr>
      <w:r>
        <w:rPr>
          <w:bCs/>
          <w:b/>
        </w:rPr>
        <w:t xml:space="preserve">Recycled Material:</w:t>
      </w:r>
      <w:r>
        <w:t xml:space="preserve"> </w:t>
      </w:r>
      <w:r>
        <w:t xml:space="preserve">1.4 kg * 0.80 = 1.12 kg</w:t>
      </w:r>
    </w:p>
    <w:p>
      <w:pPr>
        <w:numPr>
          <w:ilvl w:val="0"/>
          <w:numId w:val="1012"/>
        </w:numPr>
        <w:pStyle w:val="Compact"/>
      </w:pPr>
      <w:r>
        <w:rPr>
          <w:bCs/>
          <w:b/>
        </w:rPr>
        <w:t xml:space="preserve">Landfilled Material:</w:t>
      </w:r>
      <w:r>
        <w:t xml:space="preserve"> </w:t>
      </w:r>
      <w:r>
        <w:t xml:space="preserve">1.4 kg * 0.20 = 0.28 kg</w:t>
      </w:r>
    </w:p>
    <w:p>
      <w:pPr>
        <w:pStyle w:val="FirstParagraph"/>
      </w:pPr>
      <w:r>
        <w:rPr>
          <w:bCs/>
          <w:b/>
        </w:rPr>
        <w:t xml:space="preserve">Calculation:</w:t>
      </w:r>
    </w:p>
    <w:p>
      <w:pPr>
        <w:numPr>
          <w:ilvl w:val="0"/>
          <w:numId w:val="1013"/>
        </w:numPr>
        <w:pStyle w:val="Compact"/>
      </w:pPr>
      <w:r>
        <w:rPr>
          <w:bCs/>
          <w:b/>
        </w:rPr>
        <w:t xml:space="preserve">Landfill Emissions:</w:t>
      </w:r>
      <w:r>
        <w:t xml:space="preserve"> </w:t>
      </w:r>
      <w:r>
        <w:t xml:space="preserve">0.28 kg * 0.05 kg CO2e/kg = 0.014 kg CO2e</w:t>
      </w:r>
    </w:p>
    <w:p>
      <w:pPr>
        <w:numPr>
          <w:ilvl w:val="0"/>
          <w:numId w:val="1013"/>
        </w:numPr>
        <w:pStyle w:val="Compact"/>
      </w:pPr>
      <w:r>
        <w:rPr>
          <w:bCs/>
          <w:b/>
        </w:rPr>
        <w:t xml:space="preserve">Recycling Benefit:</w:t>
      </w:r>
      <w:r>
        <w:t xml:space="preserve"> </w:t>
      </w:r>
      <w:r>
        <w:t xml:space="preserve">1.12 kg * (-0.5 kg CO2e/kg) = -0.56 kg CO2e (credit for avoided virgin production)</w:t>
      </w:r>
    </w:p>
    <w:p>
      <w:pPr>
        <w:pStyle w:val="FirstParagraph"/>
      </w:pPr>
      <w:r>
        <w:rPr>
          <w:bCs/>
          <w:b/>
        </w:rPr>
        <w:t xml:space="preserve">Illustrative End-of-Life Emissions (post-gate): 0.014 kg CO2e - 0.56 kg CO2e = -0.546 kg CO2e/unit</w:t>
      </w:r>
    </w:p>
    <w:bookmarkEnd w:id="37"/>
    <w:bookmarkStart w:id="38" w:name="X1a24fe5fd850b1a50a157a750cf58610d87a9b7"/>
    <w:p>
      <w:pPr>
        <w:pStyle w:val="Heading4"/>
      </w:pPr>
      <w:r>
        <w:t xml:space="preserve">Summary of Illustrative Scope 3 Emissions (within \'factory_gate\' boundary):</w:t>
      </w:r>
    </w:p>
    <w:p>
      <w:pPr>
        <w:numPr>
          <w:ilvl w:val="0"/>
          <w:numId w:val="1014"/>
        </w:numPr>
        <w:pStyle w:val="Compact"/>
      </w:pPr>
      <w:r>
        <w:t xml:space="preserve">Raw Materials: 3.76 kg CO2e/unit</w:t>
      </w:r>
    </w:p>
    <w:p>
      <w:pPr>
        <w:numPr>
          <w:ilvl w:val="0"/>
          <w:numId w:val="1014"/>
        </w:numPr>
        <w:pStyle w:val="Compact"/>
      </w:pPr>
      <w:r>
        <w:t xml:space="preserve">Upstream Transportation: 0.224 kg CO2e/unit</w:t>
      </w:r>
    </w:p>
    <w:p>
      <w:pPr>
        <w:numPr>
          <w:ilvl w:val="0"/>
          <w:numId w:val="1014"/>
        </w:numPr>
        <w:pStyle w:val="Compact"/>
      </w:pPr>
      <w:r>
        <w:rPr>
          <w:bCs/>
          <w:b/>
        </w:rPr>
        <w:t xml:space="preserve">Total Illustrative Scope 3 Emissions (factory_gate): 3.984 kg CO2e/unit</w:t>
      </w:r>
    </w:p>
    <w:bookmarkEnd w:id="38"/>
    <w:bookmarkEnd w:id="39"/>
    <w:bookmarkStart w:id="40" w:name="ghg-protocol-2026-lsr-update"/>
    <w:p>
      <w:pPr>
        <w:pStyle w:val="Heading3"/>
      </w:pPr>
      <w:r>
        <w:t xml:space="preserve">GHG Protocol 2026 LSR Update</w:t>
      </w:r>
    </w:p>
    <w:p>
      <w:pPr>
        <w:pStyle w:val="FirstParagraph"/>
      </w:pPr>
      <w:r>
        <w:t xml:space="preserve">The Land Sector and Removals (LSR) Standard, effective January 1, 2027, provides specific accounting requirements for land emissions and CO2 removals. For pfpyqxqxqz, if its raw materials (e.g., paper/cardboard from sustainable forestry, or agricultural products if applicable) or processes involve significant land-use change or land management activities, these would be quantified under the LSR Standard. Since specific land-use data for the raw materials is not provided in detail beyond general categories, a detailed calculation cannot be performed here. However, xryrrfegjh commits to integrating LSR guidance as it becomes fully operational and applicable to its supply chain. The forthcoming accompanying Guidance document in Q2 2026 is expected to offer more practical direction for implementing the LSR Standard.</w:t>
      </w:r>
    </w:p>
    <w:bookmarkEnd w:id="40"/>
    <w:bookmarkStart w:id="41" w:name="scope-3-compliance-95-coverage"/>
    <w:p>
      <w:pPr>
        <w:pStyle w:val="Heading3"/>
      </w:pPr>
      <w:r>
        <w:t xml:space="preserve">Scope 3 Compliance: 95% Coverage</w:t>
      </w:r>
    </w:p>
    <w:p>
      <w:pPr>
        <w:pStyle w:val="FirstParagraph"/>
      </w:pPr>
      <w:r>
        <w:t xml:space="preserve">In anticipation of the 2026 GHG Protocol requirements, which propose a mandatory 95% coverage threshold for required Scope 3 emissions (Categories 1-15), this analysis aims for comprehensive data collection. The current \'factory_gate\' boundary covers the most material upstream Scope 3 categories: Purchased Goods &amp; Services (Raw Materials) and Upstream Transportation &amp; Distribution. Additional categories would be included for a full cradle-to-grave analysis. Continuous efforts will be made to gather primary data from suppliers to ensure robust and verifiable Scope 3 reporting in line with these evolving standards.</w:t>
      </w:r>
    </w:p>
    <w:bookmarkEnd w:id="41"/>
    <w:bookmarkStart w:id="42" w:name="X1632c7b49979411f519576bd3c616b054c409a2"/>
    <w:p>
      <w:pPr>
        <w:pStyle w:val="Heading3"/>
      </w:pPr>
      <w:r>
        <w:t xml:space="preserve">Total Product Carbon Footprint (PCF) - Factory Gate</w:t>
      </w:r>
    </w:p>
    <w:p>
      <w:pPr>
        <w:pStyle w:val="FirstParagraph"/>
      </w:pPr>
      <w:r>
        <w:t xml:space="preserve">Based on the illustrative calculations within the \'factory_gate\' system boundary:</w:t>
      </w:r>
    </w:p>
    <w:p>
      <w:pPr>
        <w:numPr>
          <w:ilvl w:val="0"/>
          <w:numId w:val="1015"/>
        </w:numPr>
        <w:pStyle w:val="Compact"/>
      </w:pPr>
      <w:r>
        <w:rPr>
          <w:bCs/>
          <w:b/>
        </w:rPr>
        <w:t xml:space="preserve">Scope 1:</w:t>
      </w:r>
      <w:r>
        <w:t xml:space="preserve"> </w:t>
      </w:r>
      <w:r>
        <w:t xml:space="preserve">0.00 kg CO2e/unit</w:t>
      </w:r>
    </w:p>
    <w:p>
      <w:pPr>
        <w:numPr>
          <w:ilvl w:val="0"/>
          <w:numId w:val="1015"/>
        </w:numPr>
        <w:pStyle w:val="Compact"/>
      </w:pPr>
      <w:r>
        <w:rPr>
          <w:bCs/>
          <w:b/>
        </w:rPr>
        <w:t xml:space="preserve">Scope 2:</w:t>
      </w:r>
      <w:r>
        <w:t xml:space="preserve"> </w:t>
      </w:r>
      <w:r>
        <w:t xml:space="preserve">2.85 kg CO2e/unit</w:t>
      </w:r>
    </w:p>
    <w:p>
      <w:pPr>
        <w:numPr>
          <w:ilvl w:val="0"/>
          <w:numId w:val="1015"/>
        </w:numPr>
        <w:pStyle w:val="Compact"/>
      </w:pPr>
      <w:r>
        <w:rPr>
          <w:bCs/>
          <w:b/>
        </w:rPr>
        <w:t xml:space="preserve">Scope 3 (Factory Gate):</w:t>
      </w:r>
      <w:r>
        <w:t xml:space="preserve"> </w:t>
      </w:r>
      <w:r>
        <w:t xml:space="preserve">3.984 kg CO2e/unit</w:t>
      </w:r>
    </w:p>
    <w:p>
      <w:pPr>
        <w:pStyle w:val="FirstParagraph"/>
      </w:pPr>
      <w:r>
        <w:rPr>
          <w:bCs/>
          <w:b/>
        </w:rPr>
        <w:t xml:space="preserve">Total Illustrative PCF (Factory Gate): 6.834 kg CO2e/unit</w:t>
      </w:r>
    </w:p>
    <w:bookmarkEnd w:id="42"/>
    <w:bookmarkStart w:id="43" w:name="X4abf01f5214194c9c891edfdd7bf5da892260ae"/>
    <w:p>
      <w:pPr>
        <w:pStyle w:val="Heading3"/>
      </w:pPr>
      <w:r>
        <w:t xml:space="preserve">Total Product Carbon Footprint (PCF) - Illustrative Cradle-to-Grave</w:t>
      </w:r>
    </w:p>
    <w:p>
      <w:pPr>
        <w:pStyle w:val="FirstParagraph"/>
      </w:pPr>
      <w:r>
        <w:t xml:space="preserve">For a holistic understanding, including the illustrative post-gate emissions (Use Phase and End-of-Life):</w:t>
      </w:r>
    </w:p>
    <w:p>
      <w:pPr>
        <w:numPr>
          <w:ilvl w:val="0"/>
          <w:numId w:val="1016"/>
        </w:numPr>
        <w:pStyle w:val="Compact"/>
      </w:pPr>
      <w:r>
        <w:rPr>
          <w:bCs/>
          <w:b/>
        </w:rPr>
        <w:t xml:space="preserve">Factory Gate PCF:</w:t>
      </w:r>
      <w:r>
        <w:t xml:space="preserve"> </w:t>
      </w:r>
      <w:r>
        <w:t xml:space="preserve">6.834 kg CO2e/unit</w:t>
      </w:r>
    </w:p>
    <w:p>
      <w:pPr>
        <w:numPr>
          <w:ilvl w:val="0"/>
          <w:numId w:val="1016"/>
        </w:numPr>
        <w:pStyle w:val="Compact"/>
      </w:pPr>
      <w:r>
        <w:rPr>
          <w:bCs/>
          <w:b/>
        </w:rPr>
        <w:t xml:space="preserve">Downstream Last-Mile Transport:</w:t>
      </w:r>
      <w:r>
        <w:t xml:space="preserve"> </w:t>
      </w:r>
      <w:r>
        <w:t xml:space="preserve">0.0105 kg CO2e/unit</w:t>
      </w:r>
    </w:p>
    <w:p>
      <w:pPr>
        <w:numPr>
          <w:ilvl w:val="0"/>
          <w:numId w:val="1016"/>
        </w:numPr>
        <w:pStyle w:val="Compact"/>
      </w:pPr>
      <w:r>
        <w:rPr>
          <w:bCs/>
          <w:b/>
        </w:rPr>
        <w:t xml:space="preserve">Use Phase:</w:t>
      </w:r>
      <w:r>
        <w:t xml:space="preserve"> </w:t>
      </w:r>
      <w:r>
        <w:t xml:space="preserve">25.0 kg CO2e/unit</w:t>
      </w:r>
    </w:p>
    <w:p>
      <w:pPr>
        <w:numPr>
          <w:ilvl w:val="0"/>
          <w:numId w:val="1016"/>
        </w:numPr>
        <w:pStyle w:val="Compact"/>
      </w:pPr>
      <w:r>
        <w:rPr>
          <w:bCs/>
          <w:b/>
        </w:rPr>
        <w:t xml:space="preserve">End-of-Life:</w:t>
      </w:r>
      <w:r>
        <w:t xml:space="preserve"> </w:t>
      </w:r>
      <w:r>
        <w:t xml:space="preserve">-0.546 kg CO2e/unit</w:t>
      </w:r>
    </w:p>
    <w:p>
      <w:pPr>
        <w:pStyle w:val="FirstParagraph"/>
      </w:pPr>
      <w:r>
        <w:rPr>
          <w:bCs/>
          <w:b/>
        </w:rPr>
        <w:t xml:space="preserve">Total Illustrative PCF (Cradle-to-Grave): 31.30 kg CO2e/unit</w:t>
      </w:r>
    </w:p>
    <w:p>
      <w:pPr>
        <w:pStyle w:val="BodyText"/>
      </w:pPr>
      <w:r>
        <w:rPr>
          <w:iCs/>
          <w:i/>
        </w:rPr>
        <w:t xml:space="preserve">Note: The "Cradle-to-Grave" PCF is provided for illustrative purposes to show the potential impact of all lifecycle stages and is outside the strict \'factory_gate\' system boundary defined for the primary report.</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s-hotspots-illustrative"/>
    <w:p>
      <w:pPr>
        <w:pStyle w:val="Heading3"/>
      </w:pPr>
      <w:r>
        <w:t xml:space="preserve">Emissions Hotspots (Illustrative)</w:t>
      </w:r>
    </w:p>
    <w:p>
      <w:pPr>
        <w:pStyle w:val="FirstParagraph"/>
      </w:pPr>
      <w:r>
        <w:t xml:space="preserve">Based on the illustrative calculations:</w:t>
      </w:r>
    </w:p>
    <w:p>
      <w:pPr>
        <w:numPr>
          <w:ilvl w:val="0"/>
          <w:numId w:val="1017"/>
        </w:numPr>
        <w:pStyle w:val="Compact"/>
      </w:pPr>
      <w:r>
        <w:rPr>
          <w:bCs/>
          <w:b/>
        </w:rPr>
        <w:t xml:space="preserve">Use Phase (if included in boundary):</w:t>
      </w:r>
      <w:r>
        <w:t xml:space="preserve"> </w:t>
      </w:r>
      <w:r>
        <w:t xml:space="preserve">Dominates the total lifecycle footprint at approximately 80% (25.0 kg CO2e), highlighting the importance of energy efficiency during product operation.</w:t>
      </w:r>
    </w:p>
    <w:p>
      <w:pPr>
        <w:numPr>
          <w:ilvl w:val="0"/>
          <w:numId w:val="1017"/>
        </w:numPr>
        <w:pStyle w:val="Compact"/>
      </w:pPr>
      <w:r>
        <w:rPr>
          <w:bCs/>
          <w:b/>
        </w:rPr>
        <w:t xml:space="preserve">Raw Materials:</w:t>
      </w:r>
      <w:r>
        <w:t xml:space="preserve"> </w:t>
      </w:r>
      <w:r>
        <w:t xml:space="preserve">Represent a significant hotspot within the \'factory_gate\' boundary, accounting for roughly 55% (3.76 kg CO2e) of the factory-gate emissions. This indicates that material selection and supplier sustainability are crucial.</w:t>
      </w:r>
    </w:p>
    <w:p>
      <w:pPr>
        <w:numPr>
          <w:ilvl w:val="0"/>
          <w:numId w:val="1017"/>
        </w:numPr>
        <w:pStyle w:val="Compact"/>
      </w:pPr>
      <w:r>
        <w:rPr>
          <w:bCs/>
          <w:b/>
        </w:rPr>
        <w:t xml:space="preserve">Manufacturing (Scope 2):</w:t>
      </w:r>
      <w:r>
        <w:t xml:space="preserve"> </w:t>
      </w:r>
      <w:r>
        <w:t xml:space="preserve">Accounts for approximately 42% (2.85 kg CO2e) of the factory-gate emissions, reflecting the reliance on grid electricity in China, despite 50% renewable energy usage. Further decarbonization of the grid and increased onsite renewables would reduce this impact.</w:t>
      </w:r>
    </w:p>
    <w:p>
      <w:pPr>
        <w:numPr>
          <w:ilvl w:val="0"/>
          <w:numId w:val="1017"/>
        </w:numPr>
        <w:pStyle w:val="Compact"/>
      </w:pPr>
      <w:r>
        <w:rPr>
          <w:bCs/>
          <w:b/>
        </w:rPr>
        <w:t xml:space="preserve">Upstream Transportation:</w:t>
      </w:r>
      <w:r>
        <w:t xml:space="preserve"> </w:t>
      </w:r>
      <w:r>
        <w:t xml:space="preserve">A smaller but notable contribution at about 3% (0.224 kg CO2e) of the factory-gate emissions.</w:t>
      </w:r>
    </w:p>
    <w:bookmarkEnd w:id="45"/>
    <w:bookmarkStart w:id="46" w:name="reliability-statement"/>
    <w:p>
      <w:pPr>
        <w:pStyle w:val="Heading3"/>
      </w:pPr>
      <w:r>
        <w:t xml:space="preserve">Reliability Statement</w:t>
      </w:r>
    </w:p>
    <w:p>
      <w:pPr>
        <w:pStyle w:val="FirstParagraph"/>
      </w:pPr>
      <w:r>
        <w:t xml:space="preserve">This report relies on a combination of primary (specified parameters) and secondary (illustrative average emission factors from Ecoinvent/DEFRA) data. The reliability of the PCF is directly linked to the accuracy and granularity of the input data. The illustrative nature of some numerical parameters and emission factors means the calculated PCF should be interpreted as a robust estimate for strategic decision-making and hotspot identification, rather than a definitive, auditable figure without further primary data collection. Continuous efforts to obtain supplier-specific primary data will enhance the accuracy and reliability of future PCF analyses.</w:t>
      </w:r>
    </w:p>
    <w:p>
      <w:r>
        <w:pict>
          <v:rect style="width:0;height:1.5pt" o:hralign="center" o:hrstd="t" o:hr="t"/>
        </w:pict>
      </w:r>
    </w:p>
    <w:bookmarkEnd w:id="46"/>
    <w:bookmarkEnd w:id="47"/>
    <w:bookmarkStart w:id="48" w:name="recommendations"/>
    <w:p>
      <w:pPr>
        <w:pStyle w:val="Heading2"/>
      </w:pPr>
      <w:r>
        <w:t xml:space="preserve">Recommendations</w:t>
      </w:r>
    </w:p>
    <w:p>
      <w:pPr>
        <w:pStyle w:val="FirstParagraph"/>
      </w:pPr>
      <w:r>
        <w:t xml:space="preserve">To reduce the Product Carbon Footprint of pfpyqxqxqz and align with xryrrfegjh\'s sustainability goals, the following recommendations are provided:</w:t>
      </w:r>
    </w:p>
    <w:p>
      <w:pPr>
        <w:numPr>
          <w:ilvl w:val="0"/>
          <w:numId w:val="1018"/>
        </w:numPr>
        <w:pStyle w:val="Compact"/>
      </w:pPr>
      <w:r>
        <w:rPr>
          <w:bCs/>
          <w:b/>
        </w:rPr>
        <w:t xml:space="preserve">Raw Material Optimization:</w:t>
      </w:r>
      <w:r>
        <w:t xml:space="preserve"> </w:t>
      </w:r>
      <w:r>
        <w:t xml:space="preserve">Investigate opportunities for lighter materials, recycled content with lower associated emissions, or materials from suppliers with lower carbon footprints. Engage with suppliers to collect primary emissions data for BOM items.</w:t>
      </w:r>
    </w:p>
    <w:p>
      <w:pPr>
        <w:numPr>
          <w:ilvl w:val="0"/>
          <w:numId w:val="1018"/>
        </w:numPr>
        <w:pStyle w:val="Compact"/>
      </w:pPr>
      <w:r>
        <w:rPr>
          <w:bCs/>
          <w:b/>
        </w:rPr>
        <w:t xml:space="preserve">Manufacturing Efficiency &amp; Renewable Energy:</w:t>
      </w:r>
      <w:r>
        <w:t xml:space="preserve"> </w:t>
      </w:r>
      <w:r>
        <w:t xml:space="preserve">Explore options for increasing renewable energy procurement beyond 50% for manufacturing in China, either through direct sourcing (e.g., onsite solar) or high-quality renewable energy credits, and improve energy efficiency of production processes.</w:t>
      </w:r>
    </w:p>
    <w:p>
      <w:pPr>
        <w:numPr>
          <w:ilvl w:val="0"/>
          <w:numId w:val="1018"/>
        </w:numPr>
        <w:pStyle w:val="Compact"/>
      </w:pPr>
      <w:r>
        <w:rPr>
          <w:bCs/>
          <w:b/>
        </w:rPr>
        <w:t xml:space="preserve">Use Phase Decarbonization (for cradle-to-grave consideration):</w:t>
      </w:r>
      <w:r>
        <w:t xml:space="preserve"> </w:t>
      </w:r>
      <w:r>
        <w:t xml:space="preserve">Focus on product design for energy efficiency to minimize energy consumption during the product\'s lifespan. Educate consumers on efficient product use.</w:t>
      </w:r>
    </w:p>
    <w:p>
      <w:pPr>
        <w:numPr>
          <w:ilvl w:val="0"/>
          <w:numId w:val="1018"/>
        </w:numPr>
        <w:pStyle w:val="Compact"/>
      </w:pPr>
      <w:r>
        <w:rPr>
          <w:bCs/>
          <w:b/>
        </w:rPr>
        <w:t xml:space="preserve">Supply Chain Logistics:</w:t>
      </w:r>
      <w:r>
        <w:t xml:space="preserve"> </w:t>
      </w:r>
      <w:r>
        <w:t xml:space="preserve">Optimize transport routes, explore lower-emission transport modes where feasible (e.g., rail or sea over road for longer distances), and consolidate shipments to improve load factors.</w:t>
      </w:r>
    </w:p>
    <w:p>
      <w:pPr>
        <w:numPr>
          <w:ilvl w:val="0"/>
          <w:numId w:val="1018"/>
        </w:numPr>
        <w:pStyle w:val="Compact"/>
      </w:pPr>
      <w:r>
        <w:rPr>
          <w:bCs/>
          <w:b/>
        </w:rPr>
        <w:t xml:space="preserve">Circular Economy Integration:</w:t>
      </w:r>
      <w:r>
        <w:t xml:space="preserve"> </w:t>
      </w:r>
      <w:r>
        <w:t xml:space="preserve">Strengthen existing circular/take-back programs (twtqsgyimi) to maximize actual recycling rates (toklrudyuq) and explore product-as-a-service models to retain product ownership and control over end-of-life.</w:t>
      </w:r>
    </w:p>
    <w:p>
      <w:pPr>
        <w:numPr>
          <w:ilvl w:val="0"/>
          <w:numId w:val="1018"/>
        </w:numPr>
        <w:pStyle w:val="Compact"/>
      </w:pPr>
      <w:r>
        <w:rPr>
          <w:bCs/>
          <w:b/>
        </w:rPr>
        <w:t xml:space="preserve">Data Quality Improvement:</w:t>
      </w:r>
      <w:r>
        <w:t xml:space="preserve"> </w:t>
      </w:r>
      <w:r>
        <w:t xml:space="preserve">Prioritize the collection of primary, supplier-specific data for all significant Scope 3 categories, especially for high-impact raw materials and transportation, to meet the upcoming 95% Scope 3 coverage requirement.</w:t>
      </w:r>
    </w:p>
    <w:p>
      <w:pPr>
        <w:numPr>
          <w:ilvl w:val="0"/>
          <w:numId w:val="1018"/>
        </w:numPr>
        <w:pStyle w:val="Compact"/>
      </w:pPr>
      <w:r>
        <w:rPr>
          <w:bCs/>
          <w:b/>
        </w:rPr>
        <w:t xml:space="preserve">LSR Standard Implementation:</w:t>
      </w:r>
      <w:r>
        <w:t xml:space="preserve"> </w:t>
      </w:r>
      <w:r>
        <w:t xml:space="preserve">Prepare for the full implementation of the GHG Protocol LSR Standard by identifying and quantifying land-based emissions and removals across the value chain, particularly for raw materials with agricultural or forestry origins.</w:t>
      </w:r>
    </w:p>
    <w:p>
      <w:r>
        <w:pict>
          <v:rect style="width:0;height:1.5pt" o:hralign="center" o:hrstd="t" o:hr="t"/>
        </w:pict>
      </w:r>
    </w:p>
    <w:p>
      <w:pPr>
        <w:pStyle w:val="FirstParagraph"/>
      </w:pPr>
      <w:r>
        <w:t xml:space="preserve">Confidential - Internal Use Only</w:t>
      </w:r>
    </w:p>
    <w:p>
      <w:pPr>
        <w:pStyle w:val="BodyText"/>
      </w:pPr>
      <w:r>
        <w:t xml:space="preserve">© 2026 xryrrfegjh. All rights reserved.</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pfpyqxqxqz</dc:title>
  <dc:creator/>
  <dc:description>High-detail Product Carbon Footprint (PCF) analysis report for product pfpyqxqxqz by xnrhuzjvsf, Senior Sustainability Consultant at xryrrfegjh, adhering to GHG Protocol and 2026 LSR Update.</dc:description>
  <dc:language>en</dc:language>
  <cp:keywords/>
  <dcterms:created xsi:type="dcterms:W3CDTF">2026-07-15T03:41:05Z</dcterms:created>
  <dcterms:modified xsi:type="dcterms:W3CDTF">2026-07-15T03:41:05Z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