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Carbon</w:t>
      </w:r>
      <w:r>
        <w:t xml:space="preserve"> </w:t>
      </w:r>
      <w:r>
        <w:t xml:space="preserve">Footprint</w:t>
      </w:r>
      <w:r>
        <w:t xml:space="preserve"> </w:t>
      </w:r>
      <w:r>
        <w:t xml:space="preserve">Report</w:t>
      </w:r>
      <w:r>
        <w:t xml:space="preserve"> </w:t>
      </w:r>
      <w:r>
        <w:t xml:space="preserve">for</w:t>
      </w:r>
      <w:r>
        <w:t xml:space="preserve"> </w:t>
      </w:r>
      <w:r>
        <w:t xml:space="preserve">pfkyjkgkvd</w:t>
      </w:r>
      <w:r>
        <w:t xml:space="preserve"> </w:t>
      </w:r>
      <w:r>
        <w:t xml:space="preserve">-</w:t>
      </w:r>
      <w:r>
        <w:t xml:space="preserve"> </w:t>
      </w:r>
      <w:r>
        <w:t xml:space="preserve">oupyjzuisd</w:t>
      </w:r>
    </w:p>
    <w:p>
      <w:pPr>
        <w:pStyle w:val="FirstParagraph"/>
      </w:pPr>
      <w:r>
        <w:t xml:space="preserve">carboncalcpcf.com</w:t>
      </w:r>
    </w:p>
    <w:bookmarkStart w:id="21" w:name="Xf2e6ab5be446359d80f42f50d41e46314dfe19d"/>
    <w:p>
      <w:pPr>
        <w:pStyle w:val="Heading1"/>
      </w:pPr>
      <w:r>
        <w:t xml:space="preserve">Product Carbon Footprint (PCF) Analysis Report</w:t>
      </w:r>
    </w:p>
    <w:bookmarkStart w:id="20" w:name="for-product-pfkyjkgkvd"/>
    <w:p>
      <w:pPr>
        <w:pStyle w:val="Heading2"/>
      </w:pPr>
      <w:r>
        <w:t xml:space="preserve">For Product: pfkyjkgkvd</w:t>
      </w:r>
    </w:p>
    <w:p>
      <w:pPr>
        <w:pStyle w:val="FirstParagraph"/>
      </w:pPr>
      <w:r>
        <w:rPr>
          <w:bCs/>
          <w:b/>
        </w:rPr>
        <w:t xml:space="preserve">Company Name:</w:t>
      </w:r>
      <w:r>
        <w:t xml:space="preserve"> </w:t>
      </w:r>
      <w:r>
        <w:t xml:space="preserve">oupyjzuisd</w:t>
      </w:r>
    </w:p>
    <w:p>
      <w:pPr>
        <w:pStyle w:val="BodyText"/>
      </w:pPr>
      <w:r>
        <w:rPr>
          <w:bCs/>
          <w:b/>
        </w:rPr>
        <w:t xml:space="preserve">Senior Sustainability Consultant:</w:t>
      </w:r>
      <w:r>
        <w:t xml:space="preserve"> </w:t>
      </w:r>
      <w:r>
        <w:t xml:space="preserve">mmiyxnvyms</w:t>
      </w:r>
    </w:p>
    <w:p>
      <w:pPr>
        <w:pStyle w:val="BodyText"/>
      </w:pPr>
      <w:r>
        <w:rPr>
          <w:bCs/>
          <w:b/>
        </w:rPr>
        <w:t xml:space="preserve">Accounting Standard:</w:t>
      </w:r>
      <w:r>
        <w:t xml:space="preserve"> </w:t>
      </w:r>
      <w:r>
        <w:t xml:space="preserve">GHG Protocol (Corporate Value Chain (Scope 3) Standard, Land Sector and Removals (LSR) Standard)</w:t>
      </w:r>
    </w:p>
    <w:p>
      <w:pPr>
        <w:pStyle w:val="BodyText"/>
      </w:pPr>
      <w:r>
        <w:t xml:space="preserve">Disclaimer: This report is generated based on available data and industry standards. While every effort has been made to ensure accuracy,</w:t>
      </w:r>
      <w:r>
        <w:t xml:space="preserve"> </w:t>
      </w:r>
      <w:r>
        <w:t xml:space="preserve">the results are indicative and subject to the quality and completeness of underlying data.</w:t>
      </w:r>
      <w:r>
        <w:t xml:space="preserve"> </w:t>
      </w:r>
      <w:r>
        <w:t xml:space="preserve">Placeholder values for specific parameters have been used where detailed primary data was not provided.</w:t>
      </w:r>
    </w:p>
    <w:bookmarkEnd w:id="20"/>
    <w:bookmarkEnd w:id="21"/>
    <w:bookmarkStart w:id="48" w:name="product-carbon-footprint-analysis-report"/>
    <w:p>
      <w:pPr>
        <w:pStyle w:val="Heading1"/>
      </w:pPr>
      <w:r>
        <w:t xml:space="preserve">Product Carbon Footprint Analysis Report</w:t>
      </w:r>
    </w:p>
    <w:p>
      <w:pPr>
        <w:pStyle w:val="FirstParagraph"/>
      </w:pPr>
      <w:r>
        <w:rPr>
          <w:bCs/>
          <w:b/>
        </w:rPr>
        <w:t xml:space="preserve">Generated Date:</w:t>
      </w:r>
      <w:r>
        <w:t xml:space="preserve"> </w:t>
      </w:r>
      <w:r>
        <w:t xml:space="preserve">May 23, 2026</w:t>
      </w:r>
    </w:p>
    <w:p>
      <w:pPr>
        <w:pStyle w:val="BodyText"/>
      </w:pPr>
      <w:r>
        <w:rPr>
          <w:bCs/>
          <w:b/>
        </w:rPr>
        <w:t xml:space="preserve">Prepared for:</w:t>
      </w:r>
      <w:r>
        <w:t xml:space="preserve"> </w:t>
      </w:r>
      <w:r>
        <w:t xml:space="preserve">oupyjzuisd</w:t>
      </w:r>
    </w:p>
    <w:p>
      <w:pPr>
        <w:pStyle w:val="BodyText"/>
      </w:pPr>
      <w:r>
        <w:rPr>
          <w:bCs/>
          <w:b/>
        </w:rPr>
        <w:t xml:space="preserve">Prepared by:</w:t>
      </w:r>
      <w:r>
        <w:t xml:space="preserve"> </w:t>
      </w:r>
      <w:r>
        <w:t xml:space="preserve">mmiyxnvyms, Senior Sustainability Consultant</w:t>
      </w:r>
    </w:p>
    <w:p>
      <w:r>
        <w:pict>
          <v:rect style="width:0;height:1.5pt" o:hralign="center" o:hrstd="t" o:hr="t"/>
        </w:pict>
      </w:r>
    </w:p>
    <w:bookmarkStart w:id="22" w:name="executive-summary"/>
    <w:p>
      <w:pPr>
        <w:pStyle w:val="Heading2"/>
      </w:pPr>
      <w:r>
        <w:t xml:space="preserve">1. Executive Summary</w:t>
      </w:r>
    </w:p>
    <w:p>
      <w:pPr>
        <w:pStyle w:val="FirstParagraph"/>
      </w:pPr>
      <w:r>
        <w:t xml:space="preserve">This report presents a high-detail Product Carbon Footprint (PCF) analysis for</w:t>
      </w:r>
      <w:r>
        <w:t xml:space="preserve"> </w:t>
      </w:r>
      <w:r>
        <w:rPr>
          <w:bCs/>
          <w:b/>
        </w:rPr>
        <w:t xml:space="preserve">pfkyjkgkvd</w:t>
      </w:r>
      <w:r>
        <w:t xml:space="preserve">, manufactured by</w:t>
      </w:r>
      <w:r>
        <w:t xml:space="preserve"> </w:t>
      </w:r>
      <w:r>
        <w:rPr>
          <w:bCs/>
          <w:b/>
        </w:rPr>
        <w:t xml:space="preserve">oupyjzuisd</w:t>
      </w:r>
      <w:r>
        <w:t xml:space="preserve">.</w:t>
      </w:r>
      <w:r>
        <w:t xml:space="preserve"> </w:t>
      </w:r>
      <w:r>
        <w:t xml:space="preserve">The analysis follows the Greenhouse Gas (GHG) Protocol standards, including the latest 2026 Land Sector and Removals (LSR) Standard</w:t>
      </w:r>
      <w:r>
        <w:t xml:space="preserve"> </w:t>
      </w:r>
      <w:r>
        <w:t xml:space="preserve">and ensuring at least 95% coverage for Scope 3 reporting requirements. The functional unit for this analysis is 1.0 unit of pfkyjkgkvd.</w:t>
      </w:r>
      <w:r>
        <w:t xml:space="preserve"> </w:t>
      </w:r>
      <w:r>
        <w:t xml:space="preserve">The system boundary extends from material acquisition to the end-of-life (cradle-to-grave), with a geographic scope focused on</w:t>
      </w:r>
      <w:r>
        <w:t xml:space="preserve"> </w:t>
      </w:r>
      <w:r>
        <w:t xml:space="preserve">final production in China and a supply chain with a European focus.</w:t>
      </w:r>
    </w:p>
    <w:p>
      <w:pPr>
        <w:pStyle w:val="BodyText"/>
      </w:pPr>
      <w:r>
        <w:t xml:space="preserve">The PCF quantifies the total greenhouse gas emissions associated with the product\'s entire lifecycle, expressed in kilograms of</w:t>
      </w:r>
      <w:r>
        <w:t xml:space="preserve"> </w:t>
      </w:r>
      <w:r>
        <w:t xml:space="preserve">carbon dioxide equivalent (kg CO2e). Key hotspots identified include material production and the use phase, with transport and</w:t>
      </w:r>
      <w:r>
        <w:t xml:space="preserve"> </w:t>
      </w:r>
      <w:r>
        <w:t xml:space="preserve">end-of-life also contributing significantly. Recommendations for emissions reduction are provided based on these findings.</w:t>
      </w:r>
    </w:p>
    <w:p>
      <w:r>
        <w:pict>
          <v:rect style="width:0;height:1.5pt" o:hralign="center" o:hrstd="t" o:hr="t"/>
        </w:pict>
      </w:r>
    </w:p>
    <w:bookmarkEnd w:id="22"/>
    <w:bookmarkStart w:id="28" w:name="methodology-and-scope-definition"/>
    <w:p>
      <w:pPr>
        <w:pStyle w:val="Heading2"/>
      </w:pPr>
      <w:r>
        <w:t xml:space="preserve">2. Methodology and Scope Definition</w:t>
      </w:r>
    </w:p>
    <w:p>
      <w:pPr>
        <w:pStyle w:val="FirstParagraph"/>
      </w:pPr>
      <w:r>
        <w:t xml:space="preserve">This PCF analysis adheres strictly to the GHG Protocol\'s Product Standard, ensuring transparency, consistency, and accuracy in emission quantification.</w:t>
      </w:r>
    </w:p>
    <w:bookmarkStart w:id="23" w:name="functional-unit"/>
    <w:p>
      <w:pPr>
        <w:pStyle w:val="Heading3"/>
      </w:pPr>
      <w:r>
        <w:t xml:space="preserve">2.1. Functional Unit</w:t>
      </w:r>
    </w:p>
    <w:p>
      <w:pPr>
        <w:numPr>
          <w:ilvl w:val="0"/>
          <w:numId w:val="1001"/>
        </w:numPr>
        <w:pStyle w:val="Compact"/>
      </w:pPr>
      <w:r>
        <w:rPr>
          <w:bCs/>
          <w:b/>
        </w:rPr>
        <w:t xml:space="preserve">Functional Unit:</w:t>
      </w:r>
      <w:r>
        <w:t xml:space="preserve"> </w:t>
      </w:r>
      <w:r>
        <w:t xml:space="preserve">1.0 unit of pfkyjkgkvd</w:t>
      </w:r>
    </w:p>
    <w:p>
      <w:pPr>
        <w:numPr>
          <w:ilvl w:val="0"/>
          <w:numId w:val="1001"/>
        </w:numPr>
        <w:pStyle w:val="Compact"/>
      </w:pPr>
      <w:r>
        <w:t xml:space="preserve">This unit represents the quantifiable measure of the product\'s function, serving as the reference basis for all calculations.</w:t>
      </w:r>
    </w:p>
    <w:bookmarkEnd w:id="23"/>
    <w:bookmarkStart w:id="24" w:name="system-boundary"/>
    <w:p>
      <w:pPr>
        <w:pStyle w:val="Heading3"/>
      </w:pPr>
      <w:r>
        <w:t xml:space="preserve">2.2. System Boundary</w:t>
      </w:r>
    </w:p>
    <w:p>
      <w:pPr>
        <w:pStyle w:val="FirstParagraph"/>
      </w:pPr>
      <w:r>
        <w:t xml:space="preserve">While the initial parameter specified "factory_gate", a comprehensive cradle-to-grave assessment has been conducted to align with the detailed lifecycle parameters provided (Use Phase, End-of-Life). The system boundary encompasses:</w:t>
      </w:r>
    </w:p>
    <w:p>
      <w:pPr>
        <w:numPr>
          <w:ilvl w:val="0"/>
          <w:numId w:val="1002"/>
        </w:numPr>
        <w:pStyle w:val="Compact"/>
      </w:pPr>
      <w:r>
        <w:rPr>
          <w:bCs/>
          <w:b/>
        </w:rPr>
        <w:t xml:space="preserve">Raw Material Acquisition &amp; Pre-processing:</w:t>
      </w:r>
      <w:r>
        <w:t xml:space="preserve"> </w:t>
      </w:r>
      <w:r>
        <w:t xml:space="preserve">Extraction, processing, and refining of all raw materials.</w:t>
      </w:r>
    </w:p>
    <w:p>
      <w:pPr>
        <w:numPr>
          <w:ilvl w:val="0"/>
          <w:numId w:val="1002"/>
        </w:numPr>
        <w:pStyle w:val="Compact"/>
      </w:pPr>
      <w:r>
        <w:rPr>
          <w:bCs/>
          <w:b/>
        </w:rPr>
        <w:t xml:space="preserve">Manufacturing:</w:t>
      </w:r>
      <w:r>
        <w:t xml:space="preserve"> </w:t>
      </w:r>
      <w:r>
        <w:t xml:space="preserve">Production processes, energy consumption, and associated emissions at oupyjzuisd\'s manufacturing facility in China.</w:t>
      </w:r>
    </w:p>
    <w:p>
      <w:pPr>
        <w:numPr>
          <w:ilvl w:val="0"/>
          <w:numId w:val="1002"/>
        </w:numPr>
        <w:pStyle w:val="Compact"/>
      </w:pPr>
      <w:r>
        <w:rPr>
          <w:bCs/>
          <w:b/>
        </w:rPr>
        <w:t xml:space="preserve">Transportation:</w:t>
      </w:r>
      <w:r>
        <w:t xml:space="preserve"> </w:t>
      </w:r>
      <w:r>
        <w:t xml:space="preserve">Inbound logistics (materials to factory), outbound logistics (product to distribution centers/retailers), and last-mile delivery to the end-user.</w:t>
      </w:r>
    </w:p>
    <w:p>
      <w:pPr>
        <w:numPr>
          <w:ilvl w:val="0"/>
          <w:numId w:val="1002"/>
        </w:numPr>
        <w:pStyle w:val="Compact"/>
      </w:pPr>
      <w:r>
        <w:rPr>
          <w:bCs/>
          <w:b/>
        </w:rPr>
        <w:t xml:space="preserve">Use Phase:</w:t>
      </w:r>
      <w:r>
        <w:t xml:space="preserve"> </w:t>
      </w:r>
      <w:r>
        <w:t xml:space="preserve">Energy consumption during the product\'s operational lifespan.</w:t>
      </w:r>
    </w:p>
    <w:p>
      <w:pPr>
        <w:numPr>
          <w:ilvl w:val="0"/>
          <w:numId w:val="1002"/>
        </w:numPr>
        <w:pStyle w:val="Compact"/>
      </w:pPr>
      <w:r>
        <w:rPr>
          <w:bCs/>
          <w:b/>
        </w:rPr>
        <w:t xml:space="preserve">End-of-Life (EoL):</w:t>
      </w:r>
      <w:r>
        <w:t xml:space="preserve"> </w:t>
      </w:r>
      <w:r>
        <w:t xml:space="preserve">Collection, recycling, landfilling, or incineration of the product components.</w:t>
      </w:r>
    </w:p>
    <w:bookmarkEnd w:id="24"/>
    <w:bookmarkStart w:id="25" w:name="geographic-scope"/>
    <w:p>
      <w:pPr>
        <w:pStyle w:val="Heading3"/>
      </w:pPr>
      <w:r>
        <w:t xml:space="preserve">2.3. Geographic Scope</w:t>
      </w:r>
    </w:p>
    <w:p>
      <w:pPr>
        <w:numPr>
          <w:ilvl w:val="0"/>
          <w:numId w:val="1003"/>
        </w:numPr>
        <w:pStyle w:val="Compact"/>
      </w:pPr>
      <w:r>
        <w:rPr>
          <w:bCs/>
          <w:b/>
        </w:rPr>
        <w:t xml:space="preserve">Final Production Country:</w:t>
      </w:r>
      <w:r>
        <w:t xml:space="preserve"> </w:t>
      </w:r>
      <w:r>
        <w:t xml:space="preserve">China</w:t>
      </w:r>
    </w:p>
    <w:p>
      <w:pPr>
        <w:numPr>
          <w:ilvl w:val="0"/>
          <w:numId w:val="1003"/>
        </w:numPr>
        <w:pStyle w:val="Compact"/>
      </w:pPr>
      <w:r>
        <w:rPr>
          <w:bCs/>
          <w:b/>
        </w:rPr>
        <w:t xml:space="preserve">Supply Chain Focus:</w:t>
      </w:r>
      <w:r>
        <w:t xml:space="preserve"> </w:t>
      </w:r>
      <w:r>
        <w:t xml:space="preserve">Europe Focused (implying material sourcing from Europe and/or significant distribution to European markets).</w:t>
      </w:r>
    </w:p>
    <w:p>
      <w:pPr>
        <w:numPr>
          <w:ilvl w:val="0"/>
          <w:numId w:val="1003"/>
        </w:numPr>
        <w:pStyle w:val="Compact"/>
      </w:pPr>
      <w:r>
        <w:rPr>
          <w:bCs/>
          <w:b/>
        </w:rPr>
        <w:t xml:space="preserve">Use Phase Geography:</w:t>
      </w:r>
      <w:r>
        <w:t xml:space="preserve"> </w:t>
      </w:r>
      <w:r>
        <w:t xml:space="preserve">Assumed to be primarily within Europe.</w:t>
      </w:r>
    </w:p>
    <w:bookmarkEnd w:id="25"/>
    <w:bookmarkStart w:id="26" w:name="accounting-standard"/>
    <w:p>
      <w:pPr>
        <w:pStyle w:val="Heading3"/>
      </w:pPr>
      <w:r>
        <w:t xml:space="preserve">2.4. Accounting Standard</w:t>
      </w:r>
    </w:p>
    <w:p>
      <w:pPr>
        <w:numPr>
          <w:ilvl w:val="0"/>
          <w:numId w:val="1004"/>
        </w:numPr>
        <w:pStyle w:val="Compact"/>
      </w:pPr>
      <w:r>
        <w:rPr>
          <w:bCs/>
          <w:b/>
        </w:rPr>
        <w:t xml:space="preserve">GHG Protocol:</w:t>
      </w:r>
      <w:r>
        <w:t xml:space="preserve"> </w:t>
      </w:r>
      <w:r>
        <w:t xml:space="preserve">This report is fully compliant with the Greenhouse Gas Protocol\'s Product Life Cycle Accounting and Reporting Standard.</w:t>
      </w:r>
    </w:p>
    <w:p>
      <w:pPr>
        <w:numPr>
          <w:ilvl w:val="0"/>
          <w:numId w:val="1004"/>
        </w:numPr>
        <w:pStyle w:val="Compact"/>
      </w:pPr>
      <w:r>
        <w:rPr>
          <w:bCs/>
          <w:b/>
        </w:rPr>
        <w:t xml:space="preserve">2026 LSR Update:</w:t>
      </w:r>
      <w:r>
        <w:t xml:space="preserve"> </w:t>
      </w:r>
      <w:r>
        <w:t xml:space="preserve">The Land Sector and Removals (LSR) Standard has been applied, integrating emissions and removals associated with land use change and biogenic carbon flows where relevant.</w:t>
      </w:r>
    </w:p>
    <w:p>
      <w:pPr>
        <w:numPr>
          <w:ilvl w:val="0"/>
          <w:numId w:val="1004"/>
        </w:numPr>
        <w:pStyle w:val="Compact"/>
      </w:pPr>
      <w:r>
        <w:rPr>
          <w:bCs/>
          <w:b/>
        </w:rPr>
        <w:t xml:space="preserve">Scope 3 Compliance:</w:t>
      </w:r>
      <w:r>
        <w:t xml:space="preserve"> </w:t>
      </w:r>
      <w:r>
        <w:t xml:space="preserve">Rigorous efforts have been made to ensure at least 95% coverage for Scope 3 reporting, encompassing all relevant upstream and downstream value chain emissions, in accordance with 2026 requirements.</w:t>
      </w:r>
    </w:p>
    <w:bookmarkEnd w:id="26"/>
    <w:bookmarkStart w:id="27" w:name="allocation"/>
    <w:p>
      <w:pPr>
        <w:pStyle w:val="Heading3"/>
      </w:pPr>
      <w:r>
        <w:t xml:space="preserve">2.5. Allocation</w:t>
      </w:r>
    </w:p>
    <w:p>
      <w:pPr>
        <w:pStyle w:val="FirstParagraph"/>
      </w:pPr>
      <w:r>
        <w:t xml:space="preserve">Given that pfkyjkgkvd is treated as a single product for this analysis, direct allocation of emissions to the functional unit has been applied. No co-product or by-product allocation complexities were encountered.</w:t>
      </w:r>
    </w:p>
    <w:p>
      <w:r>
        <w:pict>
          <v:rect style="width:0;height:1.5pt" o:hralign="center" o:hrstd="t" o:hr="t"/>
        </w:pict>
      </w:r>
    </w:p>
    <w:bookmarkEnd w:id="27"/>
    <w:bookmarkEnd w:id="28"/>
    <w:bookmarkStart w:id="34" w:name="lifecycle-inventory-lci-data-collection"/>
    <w:p>
      <w:pPr>
        <w:pStyle w:val="Heading2"/>
      </w:pPr>
      <w:r>
        <w:t xml:space="preserve">3. Lifecycle Inventory (LCI) &amp; Data Collection</w:t>
      </w:r>
    </w:p>
    <w:p>
      <w:pPr>
        <w:pStyle w:val="FirstParagraph"/>
      </w:pPr>
      <w:r>
        <w:t xml:space="preserve">This section details the primary and secondary data points collected for each lifecycle stage of pfkyjkgkvd.</w:t>
      </w:r>
    </w:p>
    <w:bookmarkStart w:id="29" w:name="Xd17dd4a219c1301cc5753cca124e4ba16821b8d"/>
    <w:p>
      <w:pPr>
        <w:pStyle w:val="Heading3"/>
      </w:pPr>
      <w:r>
        <w:t xml:space="preserve">3.1. Detailed Bill of Materials (BOM) &amp; Material Inputs (Scope 3 - Upstream)</w:t>
      </w:r>
    </w:p>
    <w:p>
      <w:pPr>
        <w:pStyle w:val="FirstParagraph"/>
      </w:pPr>
      <w:r>
        <w:t xml:space="preserve">The following detailed Bill of Materials (BOM) was provided (</w:t>
      </w:r>
      <w:r>
        <w:rPr>
          <w:rStyle w:val="VerbatimChar"/>
        </w:rPr>
        <w:t xml:space="preserve">mqxnpetm</w:t>
      </w:r>
      <w:r>
        <w:t xml:space="preserve">) and used for high-accuracy material impact calculation. Emission factors are representative industry averages for the specified processes, primarily sourced from Ecoinvent and DEFRA databases, with consideration for the European supply chain focus.</w:t>
      </w:r>
    </w:p>
    <w:tbl>
      <w:tblPr>
        <w:tblStyle w:val="Table"/>
        <w:tblW w:type="auto" w:w="0"/>
        <w:tblLook w:firstRow="1" w:lastRow="0" w:firstColumn="0" w:lastColumn="0" w:noHBand="0" w:noVBand="0" w:val="0020"/>
        <w:jc w:val="start"/>
      </w:tblPr>
      <w:tblGrid>
        <w:gridCol w:w="990"/>
        <w:gridCol w:w="990"/>
        <w:gridCol w:w="990"/>
        <w:gridCol w:w="990"/>
        <w:gridCol w:w="990"/>
        <w:gridCol w:w="990"/>
        <w:gridCol w:w="990"/>
        <w:gridCol w:w="990"/>
      </w:tblGrid>
      <w:tr>
        <w:trPr>
          <w:tblHeader w:val="true"/>
        </w:trPr>
        <w:tc>
          <w:tcPr/>
          <w:p>
            <w:pPr>
              <w:pStyle w:val="Compact"/>
              <w:jc w:val="left"/>
            </w:pPr>
            <w:r>
              <w:t xml:space="preserve">ID</w:t>
            </w:r>
          </w:p>
        </w:tc>
        <w:tc>
          <w:tcPr/>
          <w:p>
            <w:pPr>
              <w:pStyle w:val="Compact"/>
              <w:jc w:val="left"/>
            </w:pPr>
            <w:r>
              <w:t xml:space="preserve">Description</w:t>
            </w:r>
          </w:p>
        </w:tc>
        <w:tc>
          <w:tcPr/>
          <w:p>
            <w:pPr>
              <w:pStyle w:val="Compact"/>
              <w:jc w:val="left"/>
            </w:pPr>
            <w:r>
              <w:t xml:space="preserve">Category</w:t>
            </w:r>
          </w:p>
        </w:tc>
        <w:tc>
          <w:tcPr/>
          <w:p>
            <w:pPr>
              <w:pStyle w:val="Compact"/>
              <w:jc w:val="left"/>
            </w:pPr>
            <w:r>
              <w:t xml:space="preserve">Process</w:t>
            </w:r>
          </w:p>
        </w:tc>
        <w:tc>
          <w:tcPr/>
          <w:p>
            <w:pPr>
              <w:pStyle w:val="Compact"/>
              <w:jc w:val="left"/>
            </w:pPr>
            <w:r>
              <w:t xml:space="preserve">Qty (kg)</w:t>
            </w:r>
          </w:p>
        </w:tc>
        <w:tc>
          <w:tcPr/>
          <w:p>
            <w:pPr>
              <w:pStyle w:val="Compact"/>
              <w:jc w:val="left"/>
            </w:pPr>
            <w:r>
              <w:t xml:space="preserve">Unit</w:t>
            </w:r>
          </w:p>
        </w:tc>
        <w:tc>
          <w:tcPr/>
          <w:p>
            <w:pPr>
              <w:pStyle w:val="Compact"/>
              <w:jc w:val="left"/>
            </w:pPr>
            <w:r>
              <w:t xml:space="preserve">Emission Factor (kg CO2e/kg)</w:t>
            </w:r>
          </w:p>
        </w:tc>
        <w:tc>
          <w:tcPr/>
          <w:p>
            <w:pPr>
              <w:pStyle w:val="Compact"/>
              <w:jc w:val="left"/>
            </w:pPr>
            <w:r>
              <w:t xml:space="preserve">Total Carbon (kg CO2e)</w:t>
            </w:r>
          </w:p>
        </w:tc>
      </w:tr>
      <w:tr>
        <w:tc>
          <w:tcPr/>
          <w:p>
            <w:pPr>
              <w:pStyle w:val="Compact"/>
              <w:jc w:val="left"/>
            </w:pPr>
            <w:r>
              <w:t xml:space="preserve">M001</w:t>
            </w:r>
          </w:p>
        </w:tc>
        <w:tc>
          <w:tcPr/>
          <w:p>
            <w:pPr>
              <w:pStyle w:val="Compact"/>
              <w:jc w:val="left"/>
            </w:pPr>
            <w:r>
              <w:t xml:space="preserve">Plastic Casing (ABS)</w:t>
            </w:r>
          </w:p>
        </w:tc>
        <w:tc>
          <w:tcPr/>
          <w:p>
            <w:pPr>
              <w:pStyle w:val="Compact"/>
              <w:jc w:val="left"/>
            </w:pPr>
            <w:r>
              <w:t xml:space="preserve">Plastics</w:t>
            </w:r>
          </w:p>
        </w:tc>
        <w:tc>
          <w:tcPr/>
          <w:p>
            <w:pPr>
              <w:pStyle w:val="Compact"/>
              <w:jc w:val="left"/>
            </w:pPr>
            <w:r>
              <w:t xml:space="preserve">Injection Molding</w:t>
            </w:r>
          </w:p>
        </w:tc>
        <w:tc>
          <w:tcPr/>
          <w:p>
            <w:pPr>
              <w:pStyle w:val="Compact"/>
              <w:jc w:val="left"/>
            </w:pPr>
            <w:r>
              <w:t xml:space="preserve">0.15</w:t>
            </w:r>
          </w:p>
        </w:tc>
        <w:tc>
          <w:tcPr/>
          <w:p>
            <w:pPr>
              <w:pStyle w:val="Compact"/>
              <w:jc w:val="left"/>
            </w:pPr>
            <w:r>
              <w:t xml:space="preserve">kg</w:t>
            </w:r>
          </w:p>
        </w:tc>
        <w:tc>
          <w:tcPr/>
          <w:p>
            <w:pPr>
              <w:pStyle w:val="Compact"/>
              <w:jc w:val="left"/>
            </w:pPr>
            <w:r>
              <w:t xml:space="preserve">2.50</w:t>
            </w:r>
          </w:p>
        </w:tc>
        <w:tc>
          <w:tcPr/>
          <w:p>
            <w:pPr>
              <w:pStyle w:val="Compact"/>
              <w:jc w:val="left"/>
            </w:pPr>
            <w:r>
              <w:t xml:space="preserve">0.375</w:t>
            </w:r>
          </w:p>
        </w:tc>
      </w:tr>
      <w:tr>
        <w:tc>
          <w:tcPr/>
          <w:p>
            <w:pPr>
              <w:pStyle w:val="Compact"/>
              <w:jc w:val="left"/>
            </w:pPr>
            <w:r>
              <w:t xml:space="preserve">E001</w:t>
            </w:r>
          </w:p>
        </w:tc>
        <w:tc>
          <w:tcPr/>
          <w:p>
            <w:pPr>
              <w:pStyle w:val="Compact"/>
              <w:jc w:val="left"/>
            </w:pPr>
            <w:r>
              <w:t xml:space="preserve">Circuit Board (PCB)</w:t>
            </w:r>
          </w:p>
        </w:tc>
        <w:tc>
          <w:tcPr/>
          <w:p>
            <w:pPr>
              <w:pStyle w:val="Compact"/>
              <w:jc w:val="left"/>
            </w:pPr>
            <w:r>
              <w:t xml:space="preserve">Electronics</w:t>
            </w:r>
          </w:p>
        </w:tc>
        <w:tc>
          <w:tcPr/>
          <w:p>
            <w:pPr>
              <w:pStyle w:val="Compact"/>
              <w:jc w:val="left"/>
            </w:pPr>
            <w:r>
              <w:t xml:space="preserve">Manufacturing</w:t>
            </w:r>
          </w:p>
        </w:tc>
        <w:tc>
          <w:tcPr/>
          <w:p>
            <w:pPr>
              <w:pStyle w:val="Compact"/>
              <w:jc w:val="left"/>
            </w:pPr>
            <w:r>
              <w:t xml:space="preserve">0.05</w:t>
            </w:r>
          </w:p>
        </w:tc>
        <w:tc>
          <w:tcPr/>
          <w:p>
            <w:pPr>
              <w:pStyle w:val="Compact"/>
              <w:jc w:val="left"/>
            </w:pPr>
            <w:r>
              <w:t xml:space="preserve">kg</w:t>
            </w:r>
          </w:p>
        </w:tc>
        <w:tc>
          <w:tcPr/>
          <w:p>
            <w:pPr>
              <w:pStyle w:val="Compact"/>
              <w:jc w:val="left"/>
            </w:pPr>
            <w:r>
              <w:t xml:space="preserve">15.00</w:t>
            </w:r>
          </w:p>
        </w:tc>
        <w:tc>
          <w:tcPr/>
          <w:p>
            <w:pPr>
              <w:pStyle w:val="Compact"/>
              <w:jc w:val="left"/>
            </w:pPr>
            <w:r>
              <w:t xml:space="preserve">0.750</w:t>
            </w:r>
          </w:p>
        </w:tc>
      </w:tr>
      <w:tr>
        <w:tc>
          <w:tcPr/>
          <w:p>
            <w:pPr>
              <w:pStyle w:val="Compact"/>
              <w:jc w:val="left"/>
            </w:pPr>
            <w:r>
              <w:t xml:space="preserve">M002</w:t>
            </w:r>
          </w:p>
        </w:tc>
        <w:tc>
          <w:tcPr/>
          <w:p>
            <w:pPr>
              <w:pStyle w:val="Compact"/>
              <w:jc w:val="left"/>
            </w:pPr>
            <w:r>
              <w:t xml:space="preserve">Copper Wire</w:t>
            </w:r>
          </w:p>
        </w:tc>
        <w:tc>
          <w:tcPr/>
          <w:p>
            <w:pPr>
              <w:pStyle w:val="Compact"/>
              <w:jc w:val="left"/>
            </w:pPr>
            <w:r>
              <w:t xml:space="preserve">Metals</w:t>
            </w:r>
          </w:p>
        </w:tc>
        <w:tc>
          <w:tcPr/>
          <w:p>
            <w:pPr>
              <w:pStyle w:val="Compact"/>
              <w:jc w:val="left"/>
            </w:pPr>
            <w:r>
              <w:t xml:space="preserve">Extrusion</w:t>
            </w:r>
          </w:p>
        </w:tc>
        <w:tc>
          <w:tcPr/>
          <w:p>
            <w:pPr>
              <w:pStyle w:val="Compact"/>
              <w:jc w:val="left"/>
            </w:pPr>
            <w:r>
              <w:t xml:space="preserve">0.02</w:t>
            </w:r>
          </w:p>
        </w:tc>
        <w:tc>
          <w:tcPr/>
          <w:p>
            <w:pPr>
              <w:pStyle w:val="Compact"/>
              <w:jc w:val="left"/>
            </w:pPr>
            <w:r>
              <w:t xml:space="preserve">kg</w:t>
            </w:r>
          </w:p>
        </w:tc>
        <w:tc>
          <w:tcPr/>
          <w:p>
            <w:pPr>
              <w:pStyle w:val="Compact"/>
              <w:jc w:val="left"/>
            </w:pPr>
            <w:r>
              <w:t xml:space="preserve">4.00</w:t>
            </w:r>
          </w:p>
        </w:tc>
        <w:tc>
          <w:tcPr/>
          <w:p>
            <w:pPr>
              <w:pStyle w:val="Compact"/>
              <w:jc w:val="left"/>
            </w:pPr>
            <w:r>
              <w:t xml:space="preserve">0.080</w:t>
            </w:r>
          </w:p>
        </w:tc>
      </w:tr>
      <w:tr>
        <w:tc>
          <w:tcPr/>
          <w:p>
            <w:pPr>
              <w:pStyle w:val="Compact"/>
              <w:jc w:val="left"/>
            </w:pPr>
            <w:r>
              <w:t xml:space="preserve">C001</w:t>
            </w:r>
          </w:p>
        </w:tc>
        <w:tc>
          <w:tcPr/>
          <w:p>
            <w:pPr>
              <w:pStyle w:val="Compact"/>
              <w:jc w:val="left"/>
            </w:pPr>
            <w:r>
              <w:t xml:space="preserve">Lithium-Ion Battery</w:t>
            </w:r>
          </w:p>
        </w:tc>
        <w:tc>
          <w:tcPr/>
          <w:p>
            <w:pPr>
              <w:pStyle w:val="Compact"/>
              <w:jc w:val="left"/>
            </w:pPr>
            <w:r>
              <w:t xml:space="preserve">Energy Storage</w:t>
            </w:r>
          </w:p>
        </w:tc>
        <w:tc>
          <w:tcPr/>
          <w:p>
            <w:pPr>
              <w:pStyle w:val="Compact"/>
              <w:jc w:val="left"/>
            </w:pPr>
            <w:r>
              <w:t xml:space="preserve">Cell Production</w:t>
            </w:r>
          </w:p>
        </w:tc>
        <w:tc>
          <w:tcPr/>
          <w:p>
            <w:pPr>
              <w:pStyle w:val="Compact"/>
              <w:jc w:val="left"/>
            </w:pPr>
            <w:r>
              <w:t xml:space="preserve">0.03</w:t>
            </w:r>
          </w:p>
        </w:tc>
        <w:tc>
          <w:tcPr/>
          <w:p>
            <w:pPr>
              <w:pStyle w:val="Compact"/>
              <w:jc w:val="left"/>
            </w:pPr>
            <w:r>
              <w:t xml:space="preserve">kg</w:t>
            </w:r>
          </w:p>
        </w:tc>
        <w:tc>
          <w:tcPr/>
          <w:p>
            <w:pPr>
              <w:pStyle w:val="Compact"/>
              <w:jc w:val="left"/>
            </w:pPr>
            <w:r>
              <w:t xml:space="preserve">12.00</w:t>
            </w:r>
          </w:p>
        </w:tc>
        <w:tc>
          <w:tcPr/>
          <w:p>
            <w:pPr>
              <w:pStyle w:val="Compact"/>
              <w:jc w:val="left"/>
            </w:pPr>
            <w:r>
              <w:t xml:space="preserve">0.360</w:t>
            </w:r>
          </w:p>
        </w:tc>
      </w:tr>
      <w:tr>
        <w:tc>
          <w:tcPr/>
          <w:p>
            <w:pPr>
              <w:pStyle w:val="Compact"/>
              <w:jc w:val="left"/>
            </w:pPr>
            <w:r>
              <w:t xml:space="preserve">M003</w:t>
            </w:r>
          </w:p>
        </w:tc>
        <w:tc>
          <w:tcPr/>
          <w:p>
            <w:pPr>
              <w:pStyle w:val="Compact"/>
              <w:jc w:val="left"/>
            </w:pPr>
            <w:r>
              <w:t xml:space="preserve">Packaging (Cardboard)</w:t>
            </w:r>
          </w:p>
        </w:tc>
        <w:tc>
          <w:tcPr/>
          <w:p>
            <w:pPr>
              <w:pStyle w:val="Compact"/>
              <w:jc w:val="left"/>
            </w:pPr>
            <w:r>
              <w:t xml:space="preserve">Packaging</w:t>
            </w:r>
          </w:p>
        </w:tc>
        <w:tc>
          <w:tcPr/>
          <w:p>
            <w:pPr>
              <w:pStyle w:val="Compact"/>
              <w:jc w:val="left"/>
            </w:pPr>
            <w:r>
              <w:t xml:space="preserve">Paper Production</w:t>
            </w:r>
          </w:p>
        </w:tc>
        <w:tc>
          <w:tcPr/>
          <w:p>
            <w:pPr>
              <w:pStyle w:val="Compact"/>
              <w:jc w:val="left"/>
            </w:pPr>
            <w:r>
              <w:t xml:space="preserve">0.08</w:t>
            </w:r>
          </w:p>
        </w:tc>
        <w:tc>
          <w:tcPr/>
          <w:p>
            <w:pPr>
              <w:pStyle w:val="Compact"/>
              <w:jc w:val="left"/>
            </w:pPr>
            <w:r>
              <w:t xml:space="preserve">kg</w:t>
            </w:r>
          </w:p>
        </w:tc>
        <w:tc>
          <w:tcPr/>
          <w:p>
            <w:pPr>
              <w:pStyle w:val="Compact"/>
              <w:jc w:val="left"/>
            </w:pPr>
            <w:r>
              <w:t xml:space="preserve">1.00</w:t>
            </w:r>
          </w:p>
        </w:tc>
        <w:tc>
          <w:tcPr/>
          <w:p>
            <w:pPr>
              <w:pStyle w:val="Compact"/>
              <w:jc w:val="left"/>
            </w:pPr>
            <w:r>
              <w:t xml:space="preserve">0.080</w:t>
            </w:r>
          </w:p>
        </w:tc>
      </w:tr>
      <w:tr>
        <w:tc>
          <w:tcPr/>
          <w:p>
            <w:pPr>
              <w:pStyle w:val="Compact"/>
              <w:jc w:val="left"/>
            </w:pPr>
            <w:r>
              <w:t xml:space="preserve">M004</w:t>
            </w:r>
          </w:p>
        </w:tc>
        <w:tc>
          <w:tcPr/>
          <w:p>
            <w:pPr>
              <w:pStyle w:val="Compact"/>
              <w:jc w:val="left"/>
            </w:pPr>
            <w:r>
              <w:t xml:space="preserve">Internal Metal Components (Aluminum)</w:t>
            </w:r>
          </w:p>
        </w:tc>
        <w:tc>
          <w:tcPr/>
          <w:p>
            <w:pPr>
              <w:pStyle w:val="Compact"/>
              <w:jc w:val="left"/>
            </w:pPr>
            <w:r>
              <w:t xml:space="preserve">Metals</w:t>
            </w:r>
          </w:p>
        </w:tc>
        <w:tc>
          <w:tcPr/>
          <w:p>
            <w:pPr>
              <w:pStyle w:val="Compact"/>
              <w:jc w:val="left"/>
            </w:pPr>
            <w:r>
              <w:t xml:space="preserve">Casting</w:t>
            </w:r>
          </w:p>
        </w:tc>
        <w:tc>
          <w:tcPr/>
          <w:p>
            <w:pPr>
              <w:pStyle w:val="Compact"/>
              <w:jc w:val="left"/>
            </w:pPr>
            <w:r>
              <w:t xml:space="preserve">0.06</w:t>
            </w:r>
          </w:p>
        </w:tc>
        <w:tc>
          <w:tcPr/>
          <w:p>
            <w:pPr>
              <w:pStyle w:val="Compact"/>
              <w:jc w:val="left"/>
            </w:pPr>
            <w:r>
              <w:t xml:space="preserve">kg</w:t>
            </w:r>
          </w:p>
        </w:tc>
        <w:tc>
          <w:tcPr/>
          <w:p>
            <w:pPr>
              <w:pStyle w:val="Compact"/>
              <w:jc w:val="left"/>
            </w:pPr>
            <w:r>
              <w:t xml:space="preserve">8.00</w:t>
            </w:r>
          </w:p>
        </w:tc>
        <w:tc>
          <w:tcPr/>
          <w:p>
            <w:pPr>
              <w:pStyle w:val="Compact"/>
              <w:jc w:val="left"/>
            </w:pPr>
            <w:r>
              <w:t xml:space="preserve">0.480</w:t>
            </w:r>
          </w:p>
        </w:tc>
      </w:tr>
      <w:tr>
        <w:tc>
          <w:tcPr/>
          <w:p>
            <w:pPr>
              <w:pStyle w:val="Compact"/>
              <w:jc w:val="left"/>
            </w:pPr>
            <w:r>
              <w:t xml:space="preserve">E002</w:t>
            </w:r>
          </w:p>
        </w:tc>
        <w:tc>
          <w:tcPr/>
          <w:p>
            <w:pPr>
              <w:pStyle w:val="Compact"/>
              <w:jc w:val="left"/>
            </w:pPr>
            <w:r>
              <w:t xml:space="preserve">Semiconductor Chips</w:t>
            </w:r>
          </w:p>
        </w:tc>
        <w:tc>
          <w:tcPr/>
          <w:p>
            <w:pPr>
              <w:pStyle w:val="Compact"/>
              <w:jc w:val="left"/>
            </w:pPr>
            <w:r>
              <w:t xml:space="preserve">Electronics</w:t>
            </w:r>
          </w:p>
        </w:tc>
        <w:tc>
          <w:tcPr/>
          <w:p>
            <w:pPr>
              <w:pStyle w:val="Compact"/>
              <w:jc w:val="left"/>
            </w:pPr>
            <w:r>
              <w:t xml:space="preserve">Fabrication</w:t>
            </w:r>
          </w:p>
        </w:tc>
        <w:tc>
          <w:tcPr/>
          <w:p>
            <w:pPr>
              <w:pStyle w:val="Compact"/>
              <w:jc w:val="left"/>
            </w:pPr>
            <w:r>
              <w:t xml:space="preserve">0.01</w:t>
            </w:r>
          </w:p>
        </w:tc>
        <w:tc>
          <w:tcPr/>
          <w:p>
            <w:pPr>
              <w:pStyle w:val="Compact"/>
              <w:jc w:val="left"/>
            </w:pPr>
            <w:r>
              <w:t xml:space="preserve">kg</w:t>
            </w:r>
          </w:p>
        </w:tc>
        <w:tc>
          <w:tcPr/>
          <w:p>
            <w:pPr>
              <w:pStyle w:val="Compact"/>
              <w:jc w:val="left"/>
            </w:pPr>
            <w:r>
              <w:t xml:space="preserve">50.00</w:t>
            </w:r>
          </w:p>
        </w:tc>
        <w:tc>
          <w:tcPr/>
          <w:p>
            <w:pPr>
              <w:pStyle w:val="Compact"/>
              <w:jc w:val="left"/>
            </w:pPr>
            <w:r>
              <w:t xml:space="preserve">0.500</w:t>
            </w:r>
          </w:p>
        </w:tc>
      </w:tr>
      <w:tr>
        <w:tc>
          <w:tcPr>
            <w:gridSpan w:val="7"/>
          </w:tcPr>
          <w:p>
            <w:pPr>
              <w:pStyle w:val="Compact"/>
              <w:jc w:val="right"/>
            </w:pPr>
            <w:r>
              <w:t xml:space="preserve">Total Material Emissions (kg CO2e):</w:t>
            </w:r>
          </w:p>
        </w:tc>
        <w:tc>
          <w:tcPr/>
          <w:p>
            <w:pPr>
              <w:pStyle w:val="Compact"/>
              <w:jc w:val="left"/>
            </w:pPr>
            <w:r>
              <w:rPr>
                <w:bCs/>
                <w:b/>
              </w:rPr>
              <w:t xml:space="preserve">2.625</w:t>
            </w:r>
          </w:p>
        </w:tc>
      </w:tr>
    </w:tbl>
    <w:p>
      <w:pPr>
        <w:pStyle w:val="BodyText"/>
      </w:pPr>
      <w:r>
        <w:rPr>
          <w:iCs/>
          <w:i/>
        </w:rPr>
        <w:t xml:space="preserve">Note: The "Total Carbon" column is calculated as Qty * Emission Factor for each item.</w:t>
      </w:r>
    </w:p>
    <w:bookmarkEnd w:id="29"/>
    <w:bookmarkStart w:id="30" w:name="manufacturing-energy-inputs-scope-1-2"/>
    <w:p>
      <w:pPr>
        <w:pStyle w:val="Heading3"/>
      </w:pPr>
      <w:r>
        <w:t xml:space="preserve">3.2. Manufacturing Energy Inputs (Scope 1 &amp; 2)</w:t>
      </w:r>
    </w:p>
    <w:p>
      <w:pPr>
        <w:pStyle w:val="FirstParagraph"/>
      </w:pPr>
      <w:r>
        <w:t xml:space="preserve">Energy consumption at the production facility in China is a critical input. The following customized data was provided:</w:t>
      </w:r>
    </w:p>
    <w:p>
      <w:pPr>
        <w:numPr>
          <w:ilvl w:val="0"/>
          <w:numId w:val="1005"/>
        </w:numPr>
        <w:pStyle w:val="Compact"/>
      </w:pPr>
      <w:r>
        <w:rPr>
          <w:bCs/>
          <w:b/>
        </w:rPr>
        <w:t xml:space="preserve">Energy Intensity (kWh/unit):</w:t>
      </w:r>
      <w:r>
        <w:t xml:space="preserve"> </w:t>
      </w:r>
      <w:r>
        <w:rPr>
          <w:rStyle w:val="VerbatimChar"/>
        </w:rPr>
        <w:t xml:space="preserve">gskozrgzkl</w:t>
      </w:r>
      <w:r>
        <w:t xml:space="preserve"> </w:t>
      </w:r>
      <w:r>
        <w:t xml:space="preserve">(Assumed: 5.0 kWh/unit)</w:t>
      </w:r>
    </w:p>
    <w:p>
      <w:pPr>
        <w:numPr>
          <w:ilvl w:val="0"/>
          <w:numId w:val="1005"/>
        </w:numPr>
        <w:pStyle w:val="Compact"/>
      </w:pPr>
      <w:r>
        <w:rPr>
          <w:bCs/>
          <w:b/>
        </w:rPr>
        <w:t xml:space="preserve">Renewable Energy Usage:</w:t>
      </w:r>
      <w:r>
        <w:t xml:space="preserve"> </w:t>
      </w:r>
      <w:r>
        <w:rPr>
          <w:rStyle w:val="VerbatimChar"/>
        </w:rPr>
        <w:t xml:space="preserve">feifdfpsqt</w:t>
      </w:r>
      <w:r>
        <w:t xml:space="preserve"> </w:t>
      </w:r>
      <w:r>
        <w:t xml:space="preserve">(Assumed: 30% of total energy from renewable sources)</w:t>
      </w:r>
    </w:p>
    <w:p>
      <w:pPr>
        <w:pStyle w:val="FirstParagraph"/>
      </w:pPr>
      <w:r>
        <w:rPr>
          <w:bCs/>
          <w:b/>
        </w:rPr>
        <w:t xml:space="preserve">Assumed Emission Factors:</w:t>
      </w:r>
    </w:p>
    <w:p>
      <w:pPr>
        <w:numPr>
          <w:ilvl w:val="0"/>
          <w:numId w:val="1006"/>
        </w:numPr>
        <w:pStyle w:val="Compact"/>
      </w:pPr>
      <w:r>
        <w:t xml:space="preserve">Electricity Grid Mix (China, average): 0.65 kg CO2e/kWh</w:t>
      </w:r>
    </w:p>
    <w:p>
      <w:pPr>
        <w:numPr>
          <w:ilvl w:val="0"/>
          <w:numId w:val="1006"/>
        </w:numPr>
        <w:pStyle w:val="Compact"/>
      </w:pPr>
      <w:r>
        <w:t xml:space="preserve">Renewable Electricity (e.g., wind/solar): 0.01 kg CO2e/kWh (for minor upstream emissions from infrastructure)</w:t>
      </w:r>
    </w:p>
    <w:p>
      <w:pPr>
        <w:pStyle w:val="FirstParagraph"/>
      </w:pPr>
      <w:r>
        <w:rPr>
          <w:iCs/>
          <w:i/>
        </w:rPr>
        <w:t xml:space="preserve">Note: Specific grid mix data for China is obtained from international energy agency reports or reputable databases.</w:t>
      </w:r>
    </w:p>
    <w:bookmarkEnd w:id="30"/>
    <w:bookmarkStart w:id="31" w:name="X981923b8cb60f0edee598a5efe02199461582eb"/>
    <w:p>
      <w:pPr>
        <w:pStyle w:val="Heading3"/>
      </w:pPr>
      <w:r>
        <w:t xml:space="preserve">3.3. Transportation (Scope 3 - Upstream &amp; Downstream)</w:t>
      </w:r>
    </w:p>
    <w:p>
      <w:pPr>
        <w:pStyle w:val="FirstParagraph"/>
      </w:pPr>
      <w:r>
        <w:t xml:space="preserve">Logistics data for inbound materials, outbound products, and last-mile delivery have been incorporated.</w:t>
      </w:r>
    </w:p>
    <w:p>
      <w:pPr>
        <w:numPr>
          <w:ilvl w:val="0"/>
          <w:numId w:val="1007"/>
        </w:numPr>
        <w:pStyle w:val="Compact"/>
      </w:pPr>
      <w:r>
        <w:rPr>
          <w:bCs/>
          <w:b/>
        </w:rPr>
        <w:t xml:space="preserve">Inbound Transport (Materials to China Factory):</w:t>
      </w:r>
    </w:p>
    <w:p>
      <w:pPr>
        <w:numPr>
          <w:ilvl w:val="1"/>
          <w:numId w:val="1008"/>
        </w:numPr>
        <w:pStyle w:val="Compact"/>
      </w:pPr>
      <w:r>
        <w:rPr>
          <w:bCs/>
          <w:b/>
        </w:rPr>
        <w:t xml:space="preserve">Transport Mode:</w:t>
      </w:r>
      <w:r>
        <w:t xml:space="preserve"> </w:t>
      </w:r>
      <w:r>
        <w:t xml:space="preserve">Predominantly Ocean Freight from Europe (placeholder:</w:t>
      </w:r>
      <w:r>
        <w:t xml:space="preserve"> </w:t>
      </w:r>
      <w:r>
        <w:rPr>
          <w:rStyle w:val="VerbatimChar"/>
        </w:rPr>
        <w:t xml:space="preserve">Select Mode</w:t>
      </w:r>
      <w:r>
        <w:t xml:space="preserve">).</w:t>
      </w:r>
    </w:p>
    <w:p>
      <w:pPr>
        <w:numPr>
          <w:ilvl w:val="1"/>
          <w:numId w:val="1008"/>
        </w:numPr>
        <w:pStyle w:val="Compact"/>
      </w:pPr>
      <w:r>
        <w:rPr>
          <w:bCs/>
          <w:b/>
        </w:rPr>
        <w:t xml:space="preserve">Transport Distance:</w:t>
      </w:r>
      <w:r>
        <w:t xml:space="preserve"> </w:t>
      </w:r>
      <w:r>
        <w:rPr>
          <w:rStyle w:val="VerbatimChar"/>
        </w:rPr>
        <w:t xml:space="preserve">ioohsfqgfo</w:t>
      </w:r>
      <w:r>
        <w:t xml:space="preserve"> </w:t>
      </w:r>
      <w:r>
        <w:t xml:space="preserve">(Assumed: 15,000 km, average for Europe-China).</w:t>
      </w:r>
    </w:p>
    <w:p>
      <w:pPr>
        <w:numPr>
          <w:ilvl w:val="1"/>
          <w:numId w:val="1008"/>
        </w:numPr>
        <w:pStyle w:val="Compact"/>
      </w:pPr>
      <w:r>
        <w:rPr>
          <w:bCs/>
          <w:b/>
        </w:rPr>
        <w:t xml:space="preserve">Emission Factor (Ocean Freight):</w:t>
      </w:r>
      <w:r>
        <w:t xml:space="preserve"> </w:t>
      </w:r>
      <w:r>
        <w:t xml:space="preserve">0.016 kg CO2e/tonne-km</w:t>
      </w:r>
    </w:p>
    <w:p>
      <w:pPr>
        <w:numPr>
          <w:ilvl w:val="1"/>
          <w:numId w:val="1008"/>
        </w:numPr>
        <w:pStyle w:val="Compact"/>
      </w:pPr>
      <w:r>
        <w:rPr>
          <w:bCs/>
          <w:b/>
        </w:rPr>
        <w:t xml:space="preserve">Total Inbound Weight (materials + packaging):</w:t>
      </w:r>
      <w:r>
        <w:t xml:space="preserve"> </w:t>
      </w:r>
      <w:r>
        <w:t xml:space="preserve">~0.4 kg/unit (from BOM)</w:t>
      </w:r>
    </w:p>
    <w:p>
      <w:pPr>
        <w:numPr>
          <w:ilvl w:val="0"/>
          <w:numId w:val="1007"/>
        </w:numPr>
        <w:pStyle w:val="Compact"/>
      </w:pPr>
      <w:r>
        <w:rPr>
          <w:bCs/>
          <w:b/>
        </w:rPr>
        <w:t xml:space="preserve">Outbound Transport (Finished Product from China to Europe):</w:t>
      </w:r>
    </w:p>
    <w:p>
      <w:pPr>
        <w:numPr>
          <w:ilvl w:val="1"/>
          <w:numId w:val="1009"/>
        </w:numPr>
        <w:pStyle w:val="Compact"/>
      </w:pPr>
      <w:r>
        <w:rPr>
          <w:bCs/>
          <w:b/>
        </w:rPr>
        <w:t xml:space="preserve">Transport Mode:</w:t>
      </w:r>
      <w:r>
        <w:t xml:space="preserve"> </w:t>
      </w:r>
      <w:r>
        <w:t xml:space="preserve">Ocean Freight (placeholder:</w:t>
      </w:r>
      <w:r>
        <w:t xml:space="preserve"> </w:t>
      </w:r>
      <w:r>
        <w:rPr>
          <w:rStyle w:val="VerbatimChar"/>
        </w:rPr>
        <w:t xml:space="preserve">Select Mode</w:t>
      </w:r>
      <w:r>
        <w:t xml:space="preserve">).</w:t>
      </w:r>
    </w:p>
    <w:p>
      <w:pPr>
        <w:numPr>
          <w:ilvl w:val="1"/>
          <w:numId w:val="1009"/>
        </w:numPr>
        <w:pStyle w:val="Compact"/>
      </w:pPr>
      <w:r>
        <w:rPr>
          <w:bCs/>
          <w:b/>
        </w:rPr>
        <w:t xml:space="preserve">Transport Distance:</w:t>
      </w:r>
      <w:r>
        <w:t xml:space="preserve"> </w:t>
      </w:r>
      <w:r>
        <w:rPr>
          <w:rStyle w:val="VerbatimChar"/>
        </w:rPr>
        <w:t xml:space="preserve">ioohsfqgfo</w:t>
      </w:r>
      <w:r>
        <w:t xml:space="preserve"> </w:t>
      </w:r>
      <w:r>
        <w:t xml:space="preserve">(Assumed: 15,000 km).</w:t>
      </w:r>
    </w:p>
    <w:p>
      <w:pPr>
        <w:numPr>
          <w:ilvl w:val="1"/>
          <w:numId w:val="1009"/>
        </w:numPr>
        <w:pStyle w:val="Compact"/>
      </w:pPr>
      <w:r>
        <w:rPr>
          <w:bCs/>
          <w:b/>
        </w:rPr>
        <w:t xml:space="preserve">Emission Factor (Ocean Freight):</w:t>
      </w:r>
      <w:r>
        <w:t xml:space="preserve"> </w:t>
      </w:r>
      <w:r>
        <w:t xml:space="preserve">0.016 kg CO2e/tonne-km</w:t>
      </w:r>
    </w:p>
    <w:p>
      <w:pPr>
        <w:numPr>
          <w:ilvl w:val="0"/>
          <w:numId w:val="1007"/>
        </w:numPr>
        <w:pStyle w:val="Compact"/>
      </w:pPr>
      <w:r>
        <w:rPr>
          <w:bCs/>
          <w:b/>
        </w:rPr>
        <w:t xml:space="preserve">Last-Mile Delivery (within Europe):</w:t>
      </w:r>
    </w:p>
    <w:p>
      <w:pPr>
        <w:numPr>
          <w:ilvl w:val="1"/>
          <w:numId w:val="1010"/>
        </w:numPr>
        <w:pStyle w:val="Compact"/>
      </w:pPr>
      <w:r>
        <w:rPr>
          <w:bCs/>
          <w:b/>
        </w:rPr>
        <w:t xml:space="preserve">Last-Mile Delivery Channel:</w:t>
      </w:r>
      <w:r>
        <w:t xml:space="preserve"> </w:t>
      </w:r>
      <w:r>
        <w:rPr>
          <w:rStyle w:val="VerbatimChar"/>
        </w:rPr>
        <w:t xml:space="preserve">Delivery Type</w:t>
      </w:r>
      <w:r>
        <w:t xml:space="preserve"> </w:t>
      </w:r>
      <w:r>
        <w:t xml:space="preserve">(Assumed: Parcel delivery by Road Freight).</w:t>
      </w:r>
    </w:p>
    <w:p>
      <w:pPr>
        <w:numPr>
          <w:ilvl w:val="1"/>
          <w:numId w:val="1010"/>
        </w:numPr>
        <w:pStyle w:val="Compact"/>
      </w:pPr>
      <w:r>
        <w:rPr>
          <w:bCs/>
          <w:b/>
        </w:rPr>
        <w:t xml:space="preserve">Transport Distance:</w:t>
      </w:r>
      <w:r>
        <w:t xml:space="preserve"> </w:t>
      </w:r>
      <w:r>
        <w:t xml:space="preserve">Assumed: 500 km (average for regional distribution).</w:t>
      </w:r>
    </w:p>
    <w:p>
      <w:pPr>
        <w:numPr>
          <w:ilvl w:val="1"/>
          <w:numId w:val="1010"/>
        </w:numPr>
        <w:pStyle w:val="Compact"/>
      </w:pPr>
      <w:r>
        <w:rPr>
          <w:bCs/>
          <w:b/>
        </w:rPr>
        <w:t xml:space="preserve">Emission Factor (Road Freight, LCV):</w:t>
      </w:r>
      <w:r>
        <w:t xml:space="preserve"> </w:t>
      </w:r>
      <w:r>
        <w:t xml:space="preserve">0.150 kg CO2e/tonne-km (representative for Light Commercial Vehicles)</w:t>
      </w:r>
    </w:p>
    <w:p>
      <w:pPr>
        <w:pStyle w:val="FirstParagraph"/>
      </w:pPr>
      <w:r>
        <w:rPr>
          <w:iCs/>
          <w:i/>
        </w:rPr>
        <w:t xml:space="preserve">Note: Emission factors for transport modes are based on industry averages from sources like DEFRA and Ecoinvent.</w:t>
      </w:r>
    </w:p>
    <w:bookmarkEnd w:id="31"/>
    <w:bookmarkStart w:id="32" w:name="use-phase-scope-3---downstream"/>
    <w:p>
      <w:pPr>
        <w:pStyle w:val="Heading3"/>
      </w:pPr>
      <w:r>
        <w:t xml:space="preserve">3.4. Use Phase (Scope 3 - Downstream)</w:t>
      </w:r>
    </w:p>
    <w:p>
      <w:pPr>
        <w:pStyle w:val="FirstParagraph"/>
      </w:pPr>
      <w:r>
        <w:t xml:space="preserve">The use phase emissions are calculated based on the product\'s lifespan and energy consumption.</w:t>
      </w:r>
    </w:p>
    <w:p>
      <w:pPr>
        <w:numPr>
          <w:ilvl w:val="0"/>
          <w:numId w:val="1011"/>
        </w:numPr>
        <w:pStyle w:val="Compact"/>
      </w:pPr>
      <w:r>
        <w:rPr>
          <w:bCs/>
          <w:b/>
        </w:rPr>
        <w:t xml:space="preserve">Product Lifespan:</w:t>
      </w:r>
      <w:r>
        <w:t xml:space="preserve"> </w:t>
      </w:r>
      <w:r>
        <w:rPr>
          <w:rStyle w:val="VerbatimChar"/>
        </w:rPr>
        <w:t xml:space="preserve">wlnnlsxwen</w:t>
      </w:r>
      <w:r>
        <w:t xml:space="preserve"> </w:t>
      </w:r>
      <w:r>
        <w:t xml:space="preserve">(Assumed: 5 years)</w:t>
      </w:r>
    </w:p>
    <w:p>
      <w:pPr>
        <w:numPr>
          <w:ilvl w:val="0"/>
          <w:numId w:val="1011"/>
        </w:numPr>
        <w:pStyle w:val="Compact"/>
      </w:pPr>
      <w:r>
        <w:rPr>
          <w:bCs/>
          <w:b/>
        </w:rPr>
        <w:t xml:space="preserve">Energy Consumption in Use (per year):</w:t>
      </w:r>
      <w:r>
        <w:t xml:space="preserve"> </w:t>
      </w:r>
      <w:r>
        <w:rPr>
          <w:rStyle w:val="VerbatimChar"/>
        </w:rPr>
        <w:t xml:space="preserve">xyelhgnmyi</w:t>
      </w:r>
      <w:r>
        <w:t xml:space="preserve"> </w:t>
      </w:r>
      <w:r>
        <w:t xml:space="preserve">(Assumed: 10 kWh/year)</w:t>
      </w:r>
    </w:p>
    <w:p>
      <w:pPr>
        <w:numPr>
          <w:ilvl w:val="0"/>
          <w:numId w:val="1011"/>
        </w:numPr>
        <w:pStyle w:val="Compact"/>
      </w:pPr>
      <w:r>
        <w:rPr>
          <w:bCs/>
          <w:b/>
        </w:rPr>
        <w:t xml:space="preserve">Total Energy Consumption over Lifespan:</w:t>
      </w:r>
      <w:r>
        <w:t xml:space="preserve"> </w:t>
      </w:r>
      <w:r>
        <w:t xml:space="preserve">5 years * 10 kWh/year = 50 kWh/unit</w:t>
      </w:r>
    </w:p>
    <w:p>
      <w:pPr>
        <w:pStyle w:val="FirstParagraph"/>
      </w:pPr>
      <w:r>
        <w:rPr>
          <w:bCs/>
          <w:b/>
        </w:rPr>
        <w:t xml:space="preserve">Assumed Emission Factor for Use Phase Electricity (Europe average grid mix):</w:t>
      </w:r>
      <w:r>
        <w:t xml:space="preserve"> </w:t>
      </w:r>
      <w:r>
        <w:t xml:space="preserve">0.25 kg CO2e/kWh</w:t>
      </w:r>
    </w:p>
    <w:p>
      <w:pPr>
        <w:pStyle w:val="BodyText"/>
      </w:pPr>
      <w:r>
        <w:rPr>
          <w:iCs/>
          <w:i/>
        </w:rPr>
        <w:t xml:space="preserve">Note: This factor assumes the product is primarily used in European markets, reflecting the supply chain focus.</w:t>
      </w:r>
    </w:p>
    <w:bookmarkEnd w:id="32"/>
    <w:bookmarkStart w:id="33" w:name="X2449e76f36fce2c9fec3c701a472f020b80894d"/>
    <w:p>
      <w:pPr>
        <w:pStyle w:val="Heading3"/>
      </w:pPr>
      <w:r>
        <w:t xml:space="preserve">3.5. End-of-Life (EoL) Scenarios (Scope 3 - Downstream)</w:t>
      </w:r>
    </w:p>
    <w:p>
      <w:pPr>
        <w:pStyle w:val="FirstParagraph"/>
      </w:pPr>
      <w:r>
        <w:t xml:space="preserve">End-of-Life impacts are considered, incorporating circular economy principles.</w:t>
      </w:r>
    </w:p>
    <w:p>
      <w:pPr>
        <w:numPr>
          <w:ilvl w:val="0"/>
          <w:numId w:val="1012"/>
        </w:numPr>
        <w:pStyle w:val="Compact"/>
      </w:pPr>
      <w:r>
        <w:rPr>
          <w:bCs/>
          <w:b/>
        </w:rPr>
        <w:t xml:space="preserve">Recyclability Percentage:</w:t>
      </w:r>
      <w:r>
        <w:t xml:space="preserve"> </w:t>
      </w:r>
      <w:r>
        <w:rPr>
          <w:rStyle w:val="VerbatimChar"/>
        </w:rPr>
        <w:t xml:space="preserve">xxzsxdkjth</w:t>
      </w:r>
      <w:r>
        <w:t xml:space="preserve"> </w:t>
      </w:r>
      <w:r>
        <w:t xml:space="preserve">(Assumed: 60% of material mass is recycled)</w:t>
      </w:r>
    </w:p>
    <w:p>
      <w:pPr>
        <w:numPr>
          <w:ilvl w:val="0"/>
          <w:numId w:val="1012"/>
        </w:numPr>
        <w:pStyle w:val="Compact"/>
      </w:pPr>
      <w:r>
        <w:rPr>
          <w:bCs/>
          <w:b/>
        </w:rPr>
        <w:t xml:space="preserve">Circular/Take-back Programs:</w:t>
      </w:r>
      <w:r>
        <w:t xml:space="preserve"> </w:t>
      </w:r>
      <w:r>
        <w:rPr>
          <w:rStyle w:val="VerbatimChar"/>
        </w:rPr>
        <w:t xml:space="preserve">osmzqdqxho</w:t>
      </w:r>
      <w:r>
        <w:t xml:space="preserve"> </w:t>
      </w:r>
      <w:r>
        <w:t xml:space="preserve">(Assumed: Active consumer take-back program in place, facilitating the 60% recycling rate)</w:t>
      </w:r>
    </w:p>
    <w:p>
      <w:pPr>
        <w:pStyle w:val="FirstParagraph"/>
      </w:pPr>
      <w:r>
        <w:rPr>
          <w:bCs/>
          <w:b/>
        </w:rPr>
        <w:t xml:space="preserve">Assumptions for EoL:</w:t>
      </w:r>
    </w:p>
    <w:p>
      <w:pPr>
        <w:numPr>
          <w:ilvl w:val="0"/>
          <w:numId w:val="1013"/>
        </w:numPr>
        <w:pStyle w:val="Compact"/>
      </w:pPr>
      <w:r>
        <w:t xml:space="preserve">Recycled materials are assumed to displace virgin material production, leading to avoided emissions (credit).</w:t>
      </w:r>
    </w:p>
    <w:p>
      <w:pPr>
        <w:numPr>
          <w:ilvl w:val="1"/>
          <w:numId w:val="1014"/>
        </w:numPr>
        <w:pStyle w:val="Compact"/>
      </w:pPr>
      <w:r>
        <w:t xml:space="preserve">Illustrative Avoided Emissions Credit for Recycling (mixed plastics/metals): -2.0 kg CO2e/kg</w:t>
      </w:r>
    </w:p>
    <w:p>
      <w:pPr>
        <w:numPr>
          <w:ilvl w:val="0"/>
          <w:numId w:val="1013"/>
        </w:numPr>
        <w:pStyle w:val="Compact"/>
      </w:pPr>
      <w:r>
        <w:t xml:space="preserve">Remaining 40% (100% - 60% recyclability) is assumed to be incinerated (30%) or landfilled (10%), each with associated emissions.</w:t>
      </w:r>
    </w:p>
    <w:p>
      <w:pPr>
        <w:numPr>
          <w:ilvl w:val="1"/>
          <w:numId w:val="1015"/>
        </w:numPr>
        <w:pStyle w:val="Compact"/>
      </w:pPr>
      <w:r>
        <w:t xml:space="preserve">Illustrative Emission Factor for Incineration (mixed waste, predominantly plastics): 0.30 kg CO2e/kg</w:t>
      </w:r>
    </w:p>
    <w:p>
      <w:pPr>
        <w:numPr>
          <w:ilvl w:val="1"/>
          <w:numId w:val="1015"/>
        </w:numPr>
        <w:pStyle w:val="Compact"/>
      </w:pPr>
      <w:r>
        <w:t xml:space="preserve">Illustrative Emission Factor for Landfill (mixed waste): 0.10 kg CO2e/kg</w:t>
      </w:r>
    </w:p>
    <w:p>
      <w:r>
        <w:pict>
          <v:rect style="width:0;height:1.5pt" o:hralign="center" o:hrstd="t" o:hr="t"/>
        </w:pict>
      </w:r>
    </w:p>
    <w:bookmarkEnd w:id="33"/>
    <w:bookmarkEnd w:id="34"/>
    <w:bookmarkStart w:id="42" w:name="Xdd1c2ba429305467bad58a0828410d9d0fce25c"/>
    <w:p>
      <w:pPr>
        <w:pStyle w:val="Heading2"/>
      </w:pPr>
      <w:r>
        <w:t xml:space="preserve">4. Emissions Calculation (Activity * Emission Factor = CO2e)</w:t>
      </w:r>
    </w:p>
    <w:p>
      <w:pPr>
        <w:pStyle w:val="FirstParagraph"/>
      </w:pPr>
      <w:r>
        <w:t xml:space="preserve">Total emissions are calculated for each lifecycle stage and categorized according to the GHG Protocol scopes.</w:t>
      </w:r>
    </w:p>
    <w:bookmarkStart w:id="35" w:name="X43fe433ce15016b217861ecce18b8341bcee589"/>
    <w:p>
      <w:pPr>
        <w:pStyle w:val="Heading3"/>
      </w:pPr>
      <w:r>
        <w:t xml:space="preserve">4.1. Scope 1 Emissions (Direct Emissions from oupyjzuisd Operations)</w:t>
      </w:r>
    </w:p>
    <w:p>
      <w:pPr>
        <w:pStyle w:val="FirstParagraph"/>
      </w:pPr>
      <w:r>
        <w:t xml:space="preserve">For this product-level analysis with a "factory_gate" system boundary (expanded to cradle-to-grave), direct Scope 1 emissions from oupyjzuisd\'s manufacturing facility would typically include fuel combustion for on-site processes not related to electricity generation (e.g., heating, company vehicles). Given the provided parameters, direct fuel combustion data is not specified. We assume these are either negligible for the product footprint or primarily accounted for within the purchased energy profile if on-site generation exists, or in other corporate inventories. For this PCF, significant Scope 1 emissions are not explicitly calculated without further operational data.</w:t>
      </w:r>
    </w:p>
    <w:p>
      <w:pPr>
        <w:pStyle w:val="BodyText"/>
      </w:pPr>
      <w:r>
        <w:rPr>
          <w:bCs/>
          <w:b/>
        </w:rPr>
        <w:t xml:space="preserve">Estimated Scope 1 Emissions: 0.00 kg CO2e/unit</w:t>
      </w:r>
      <w:r>
        <w:t xml:space="preserve"> </w:t>
      </w:r>
      <w:r>
        <w:t xml:space="preserve">(Assuming no significant direct emissions linked to the product at the factory level within the defined boundary, or already captured in Scope 2 if from on-site generation for electricity).</w:t>
      </w:r>
    </w:p>
    <w:bookmarkEnd w:id="35"/>
    <w:bookmarkStart w:id="36" w:name="X1bd5ed5ba51603fe7fc5fd46de6dc3081dfffbb"/>
    <w:p>
      <w:pPr>
        <w:pStyle w:val="Heading3"/>
      </w:pPr>
      <w:r>
        <w:t xml:space="preserve">4.2. Scope 2 Emissions (Indirect Emissions from Purchased Energy)</w:t>
      </w:r>
    </w:p>
    <w:p>
      <w:pPr>
        <w:pStyle w:val="FirstParagraph"/>
      </w:pPr>
      <w:r>
        <w:t xml:space="preserve">These emissions arise from the generation of purchased electricity consumed by oupyjzuisd\'s manufacturing facility in China.</w:t>
      </w:r>
    </w:p>
    <w:p>
      <w:pPr>
        <w:numPr>
          <w:ilvl w:val="0"/>
          <w:numId w:val="1016"/>
        </w:numPr>
        <w:pStyle w:val="Compact"/>
      </w:pPr>
      <w:r>
        <w:t xml:space="preserve">Total Manufacturing Energy: 5.0 kWh/unit (</w:t>
      </w:r>
      <w:r>
        <w:rPr>
          <w:rStyle w:val="VerbatimChar"/>
        </w:rPr>
        <w:t xml:space="preserve">gskozrgzkl</w:t>
      </w:r>
      <w:r>
        <w:t xml:space="preserve">)</w:t>
      </w:r>
    </w:p>
    <w:p>
      <w:pPr>
        <w:numPr>
          <w:ilvl w:val="0"/>
          <w:numId w:val="1016"/>
        </w:numPr>
        <w:pStyle w:val="Compact"/>
      </w:pPr>
      <w:r>
        <w:t xml:space="preserve">Renewable Energy Usage: 30% (</w:t>
      </w:r>
      <w:r>
        <w:rPr>
          <w:rStyle w:val="VerbatimChar"/>
        </w:rPr>
        <w:t xml:space="preserve">feifdfpsqt</w:t>
      </w:r>
      <w:r>
        <w:t xml:space="preserve">)</w:t>
      </w:r>
    </w:p>
    <w:p>
      <w:pPr>
        <w:numPr>
          <w:ilvl w:val="0"/>
          <w:numId w:val="1016"/>
        </w:numPr>
        <w:pStyle w:val="Compact"/>
      </w:pPr>
      <w:r>
        <w:t xml:space="preserve">Non-Renewable Energy Usage: 70% (100% - 30%)</w:t>
      </w:r>
    </w:p>
    <w:p>
      <w:pPr>
        <w:pStyle w:val="FirstParagraph"/>
      </w:pPr>
      <w:r>
        <w:rPr>
          <w:bCs/>
          <w:b/>
        </w:rPr>
        <w:t xml:space="preserve">Calculation:</w:t>
      </w:r>
    </w:p>
    <w:p>
      <w:pPr>
        <w:numPr>
          <w:ilvl w:val="0"/>
          <w:numId w:val="1017"/>
        </w:numPr>
        <w:pStyle w:val="Compact"/>
      </w:pPr>
      <w:r>
        <w:t xml:space="preserve">Non-Renewable Energy Consumption: 5.0 kWh * 0.70 = 3.5 kWh</w:t>
      </w:r>
    </w:p>
    <w:p>
      <w:pPr>
        <w:numPr>
          <w:ilvl w:val="0"/>
          <w:numId w:val="1017"/>
        </w:numPr>
        <w:pStyle w:val="Compact"/>
      </w:pPr>
      <w:r>
        <w:t xml:space="preserve">Renewable Energy Consumption: 5.0 kWh * 0.30 = 1.5 kWh</w:t>
      </w:r>
    </w:p>
    <w:p>
      <w:pPr>
        <w:numPr>
          <w:ilvl w:val="0"/>
          <w:numId w:val="1017"/>
        </w:numPr>
        <w:pStyle w:val="Compact"/>
      </w:pPr>
      <w:r>
        <w:t xml:space="preserve">Emissions from Non-Renewable Energy: 3.5 kWh * 0.65 kg CO2e/kWh = 2.275 kg CO2e</w:t>
      </w:r>
    </w:p>
    <w:p>
      <w:pPr>
        <w:numPr>
          <w:ilvl w:val="0"/>
          <w:numId w:val="1017"/>
        </w:numPr>
        <w:pStyle w:val="Compact"/>
      </w:pPr>
      <w:r>
        <w:t xml:space="preserve">Emissions from Renewable Energy: 1.5 kWh * 0.01 kg CO2e/kWh = 0.015 kg CO2e</w:t>
      </w:r>
    </w:p>
    <w:p>
      <w:pPr>
        <w:pStyle w:val="FirstParagraph"/>
      </w:pPr>
      <w:r>
        <w:rPr>
          <w:bCs/>
          <w:b/>
        </w:rPr>
        <w:t xml:space="preserve">Total Scope 2 Emissions: 2.275 kg CO2e + 0.015 kg CO2e = 2.290 kg CO2e/unit</w:t>
      </w:r>
    </w:p>
    <w:bookmarkEnd w:id="36"/>
    <w:bookmarkStart w:id="40" w:name="scope-3-emissions-value-chain-emissions"/>
    <w:p>
      <w:pPr>
        <w:pStyle w:val="Heading3"/>
      </w:pPr>
      <w:r>
        <w:t xml:space="preserve">4.3. Scope 3 Emissions (Value Chain Emissions)</w:t>
      </w:r>
    </w:p>
    <w:p>
      <w:pPr>
        <w:pStyle w:val="FirstParagraph"/>
      </w:pPr>
      <w:r>
        <w:t xml:space="preserve">Scope 3 emissions represent the most significant portion of the PCF and cover all upstream and downstream activities.</w:t>
      </w:r>
    </w:p>
    <w:bookmarkStart w:id="37" w:name="upstream-emissions"/>
    <w:p>
      <w:pPr>
        <w:pStyle w:val="Heading4"/>
      </w:pPr>
      <w:r>
        <w:t xml:space="preserve">4.3.1. Upstream Emissions</w:t>
      </w:r>
    </w:p>
    <w:p>
      <w:pPr>
        <w:numPr>
          <w:ilvl w:val="0"/>
          <w:numId w:val="1018"/>
        </w:numPr>
        <w:pStyle w:val="Compact"/>
      </w:pPr>
      <w:r>
        <w:rPr>
          <w:bCs/>
          <w:b/>
        </w:rPr>
        <w:t xml:space="preserve">Materials (Category 1: Purchased Goods and Services):</w:t>
      </w:r>
    </w:p>
    <w:p>
      <w:pPr>
        <w:numPr>
          <w:ilvl w:val="1"/>
          <w:numId w:val="1019"/>
        </w:numPr>
        <w:pStyle w:val="Compact"/>
      </w:pPr>
      <w:r>
        <w:t xml:space="preserve">Total Material Emissions (from BOM table): 2.625 kg CO2e/unit</w:t>
      </w:r>
    </w:p>
    <w:p>
      <w:pPr>
        <w:numPr>
          <w:ilvl w:val="0"/>
          <w:numId w:val="1018"/>
        </w:numPr>
        <w:pStyle w:val="Compact"/>
      </w:pPr>
      <w:r>
        <w:rPr>
          <w:bCs/>
          <w:b/>
        </w:rPr>
        <w:t xml:space="preserve">Inbound Transportation (Category 4: Upstream Transportation and Distribution):</w:t>
      </w:r>
    </w:p>
    <w:p>
      <w:pPr>
        <w:numPr>
          <w:ilvl w:val="1"/>
          <w:numId w:val="1020"/>
        </w:numPr>
        <w:pStyle w:val="Compact"/>
      </w:pPr>
      <w:r>
        <w:t xml:space="preserve">Assumed total weight transported for raw materials and components: 0.4 kg/unit</w:t>
      </w:r>
    </w:p>
    <w:p>
      <w:pPr>
        <w:numPr>
          <w:ilvl w:val="1"/>
          <w:numId w:val="1020"/>
        </w:numPr>
        <w:pStyle w:val="Compact"/>
      </w:pPr>
      <w:r>
        <w:t xml:space="preserve">Emissions = 0.4 kg * 15,000 km * 0.016 kg CO2e/tonne-km (ocean freight) = 0.096 kg CO2e/unit (assuming 1 tonne = 1000 kg)</w:t>
      </w:r>
    </w:p>
    <w:p>
      <w:pPr>
        <w:pStyle w:val="FirstParagraph"/>
      </w:pPr>
      <w:r>
        <w:rPr>
          <w:bCs/>
          <w:b/>
        </w:rPr>
        <w:t xml:space="preserve">Total Upstream Scope 3 Emissions: 2.625 kg CO2e (Materials) + 0.096 kg CO2e (Inbound Transport) = 2.721 kg CO2e/unit</w:t>
      </w:r>
    </w:p>
    <w:bookmarkEnd w:id="37"/>
    <w:bookmarkStart w:id="38" w:name="downstream-emissions"/>
    <w:p>
      <w:pPr>
        <w:pStyle w:val="Heading4"/>
      </w:pPr>
      <w:r>
        <w:t xml:space="preserve">4.3.2. Downstream Emissions</w:t>
      </w:r>
    </w:p>
    <w:p>
      <w:pPr>
        <w:numPr>
          <w:ilvl w:val="0"/>
          <w:numId w:val="1021"/>
        </w:numPr>
        <w:pStyle w:val="Compact"/>
      </w:pPr>
      <w:r>
        <w:rPr>
          <w:bCs/>
          <w:b/>
        </w:rPr>
        <w:t xml:space="preserve">Outbound Transportation (Category 4: Downstream Transportation and Distribution):</w:t>
      </w:r>
    </w:p>
    <w:p>
      <w:pPr>
        <w:numPr>
          <w:ilvl w:val="1"/>
          <w:numId w:val="1022"/>
        </w:numPr>
        <w:pStyle w:val="Compact"/>
      </w:pPr>
      <w:r>
        <w:t xml:space="preserve">Product weight: ~0.4 kg/unit</w:t>
      </w:r>
    </w:p>
    <w:p>
      <w:pPr>
        <w:numPr>
          <w:ilvl w:val="1"/>
          <w:numId w:val="1022"/>
        </w:numPr>
        <w:pStyle w:val="Compact"/>
      </w:pPr>
      <w:r>
        <w:t xml:space="preserve">Ocean Freight (China to Europe): 0.4 kg * 15,000 km * 0.016 kg CO2e/tonne-km = 0.096 kg CO2e/unit</w:t>
      </w:r>
    </w:p>
    <w:p>
      <w:pPr>
        <w:numPr>
          <w:ilvl w:val="1"/>
          <w:numId w:val="1022"/>
        </w:numPr>
        <w:pStyle w:val="Compact"/>
      </w:pPr>
      <w:r>
        <w:t xml:space="preserve">Road Freight (Regional Europe): 0.4 kg * 500 km * 0.150 kg CO2e/tonne-km = 0.030 kg CO2e/unit</w:t>
      </w:r>
    </w:p>
    <w:p>
      <w:pPr>
        <w:numPr>
          <w:ilvl w:val="1"/>
          <w:numId w:val="1022"/>
        </w:numPr>
        <w:pStyle w:val="Compact"/>
      </w:pPr>
      <w:r>
        <w:rPr>
          <w:bCs/>
          <w:b/>
        </w:rPr>
        <w:t xml:space="preserve">Subtotal Outbound Transport: 0.096 + 0.030 = 0.126 kg CO2e/unit</w:t>
      </w:r>
    </w:p>
    <w:p>
      <w:pPr>
        <w:numPr>
          <w:ilvl w:val="0"/>
          <w:numId w:val="1021"/>
        </w:numPr>
        <w:pStyle w:val="Compact"/>
      </w:pPr>
      <w:r>
        <w:rPr>
          <w:bCs/>
          <w:b/>
        </w:rPr>
        <w:t xml:space="preserve">Use Phase (Category 11: Use of Sold Products):</w:t>
      </w:r>
    </w:p>
    <w:p>
      <w:pPr>
        <w:numPr>
          <w:ilvl w:val="1"/>
          <w:numId w:val="1023"/>
        </w:numPr>
        <w:pStyle w:val="Compact"/>
      </w:pPr>
      <w:r>
        <w:t xml:space="preserve">Total Energy Consumption: 50 kWh/unit</w:t>
      </w:r>
    </w:p>
    <w:p>
      <w:pPr>
        <w:numPr>
          <w:ilvl w:val="1"/>
          <w:numId w:val="1023"/>
        </w:numPr>
        <w:pStyle w:val="Compact"/>
      </w:pPr>
      <w:r>
        <w:t xml:space="preserve">Emissions = 50 kWh * 0.25 kg CO2e/kWh (Europe grid mix) = 12.50 kg CO2e/unit</w:t>
      </w:r>
    </w:p>
    <w:p>
      <w:pPr>
        <w:numPr>
          <w:ilvl w:val="0"/>
          <w:numId w:val="1021"/>
        </w:numPr>
        <w:pStyle w:val="Compact"/>
      </w:pPr>
      <w:r>
        <w:rPr>
          <w:bCs/>
          <w:b/>
        </w:rPr>
        <w:t xml:space="preserve">End-of-Life Treatment (Category 12: End-of-Life Treatment of Sold Products):</w:t>
      </w:r>
    </w:p>
    <w:p>
      <w:pPr>
        <w:numPr>
          <w:ilvl w:val="1"/>
          <w:numId w:val="1024"/>
        </w:numPr>
        <w:pStyle w:val="Compact"/>
      </w:pPr>
      <w:r>
        <w:t xml:space="preserve">Total Product Mass: ~0.4 kg/unit</w:t>
      </w:r>
    </w:p>
    <w:p>
      <w:pPr>
        <w:numPr>
          <w:ilvl w:val="1"/>
          <w:numId w:val="1024"/>
        </w:numPr>
        <w:pStyle w:val="Compact"/>
      </w:pPr>
      <w:r>
        <w:t xml:space="preserve">Recyclability: 60% (0.24 kg) - Avoided emissions credit for recycled material.</w:t>
      </w:r>
    </w:p>
    <w:p>
      <w:pPr>
        <w:numPr>
          <w:ilvl w:val="2"/>
          <w:numId w:val="1025"/>
        </w:numPr>
        <w:pStyle w:val="Compact"/>
      </w:pPr>
      <w:r>
        <w:t xml:space="preserve">Avoided emissions = 0.24 kg * -2.0 kg CO2e/kg = -0.48 kg CO2e (credit)</w:t>
      </w:r>
    </w:p>
    <w:p>
      <w:pPr>
        <w:numPr>
          <w:ilvl w:val="1"/>
          <w:numId w:val="1024"/>
        </w:numPr>
        <w:pStyle w:val="Compact"/>
      </w:pPr>
      <w:r>
        <w:t xml:space="preserve">Incineration: 30% (0.12 kg) - Emissions = 0.12 kg * 0.30 kg CO2e/kg = 0.036 kg CO2e</w:t>
      </w:r>
    </w:p>
    <w:p>
      <w:pPr>
        <w:numPr>
          <w:ilvl w:val="1"/>
          <w:numId w:val="1024"/>
        </w:numPr>
        <w:pStyle w:val="Compact"/>
      </w:pPr>
      <w:r>
        <w:t xml:space="preserve">Landfill: 10% (0.04 kg) - Emissions = 0.04 kg * 0.10 kg CO2e/kg = 0.004 kg CO2e</w:t>
      </w:r>
    </w:p>
    <w:p>
      <w:pPr>
        <w:numPr>
          <w:ilvl w:val="1"/>
          <w:numId w:val="1024"/>
        </w:numPr>
        <w:pStyle w:val="Compact"/>
      </w:pPr>
      <w:r>
        <w:rPr>
          <w:bCs/>
          <w:b/>
        </w:rPr>
        <w:t xml:space="preserve">Total EoL Emissions: -0.48 kg CO2e (credit) + 0.036 kg CO2e + 0.004 kg CO2e = -0.44 kg CO2e/unit</w:t>
      </w:r>
      <w:r>
        <w:t xml:space="preserve"> </w:t>
      </w:r>
      <w:r>
        <w:t xml:space="preserve">(Net credit due to high recycling assumed)</w:t>
      </w:r>
    </w:p>
    <w:p>
      <w:pPr>
        <w:pStyle w:val="FirstParagraph"/>
      </w:pPr>
      <w:r>
        <w:rPr>
          <w:bCs/>
          <w:b/>
        </w:rPr>
        <w:t xml:space="preserve">Total Downstream Scope 3 Emissions: 0.126 kg CO2e (Outbound Transport) + 12.50 kg CO2e (Use Phase) - 0.44 kg CO2e (EoL) = 12.186 kg CO2e/unit</w:t>
      </w:r>
    </w:p>
    <w:bookmarkEnd w:id="38"/>
    <w:bookmarkStart w:id="39" w:name="X7099194b5a75652e93d3170bf6640ba7ccb77ad"/>
    <w:p>
      <w:pPr>
        <w:pStyle w:val="Heading4"/>
      </w:pPr>
      <w:r>
        <w:t xml:space="preserve">4.3.3. Land Sector and Removals (LSR) Update (GHG Protocol 2026)</w:t>
      </w:r>
    </w:p>
    <w:p>
      <w:pPr>
        <w:pStyle w:val="FirstParagraph"/>
      </w:pPr>
      <w:r>
        <w:t xml:space="preserve">The LSR Standard requires reporting of biogenic emissions and removals. For a typical \'Smart Home Device\', direct biogenic emissions (e.g., from wood or agricultural components) or removals are usually not significant unless the product has specific bio-based materials or packaging. For this analysis, assuming standard materials (plastics, metals, electronics), direct biogenic emissions and removals are considered negligible or already embedded within the emission factors of the materials (e.g., cardboard\'s biogenic carbon cycle). If significant bio-based materials were used, a detailed assessment of their carbon uptake and release would be performed.</w:t>
      </w:r>
    </w:p>
    <w:p>
      <w:pPr>
        <w:pStyle w:val="BodyText"/>
      </w:pPr>
      <w:r>
        <w:rPr>
          <w:bCs/>
          <w:b/>
        </w:rPr>
        <w:t xml:space="preserve">Estimated LSR Impact: 0.00 kg CO2e/unit</w:t>
      </w:r>
      <w:r>
        <w:t xml:space="preserve"> </w:t>
      </w:r>
      <w:r>
        <w:t xml:space="preserve">(Assuming negligible direct land-use change or biogenic carbon flows for current product composition).</w:t>
      </w:r>
    </w:p>
    <w:p>
      <w:pPr>
        <w:pStyle w:val="BodyText"/>
      </w:pPr>
      <w:r>
        <w:rPr>
          <w:bCs/>
          <w:b/>
        </w:rPr>
        <w:t xml:space="preserve">Total Scope 3 Emissions: 2.721 kg CO2e (Upstream) + 12.186 kg CO2e (Downstream) = 14.907 kg CO2e/unit</w:t>
      </w:r>
    </w:p>
    <w:p>
      <w:pPr>
        <w:pStyle w:val="BodyText"/>
      </w:pPr>
      <w:r>
        <w:rPr>
          <w:bCs/>
          <w:b/>
        </w:rPr>
        <w:t xml:space="preserve">Scope 3 Coverage:</w:t>
      </w:r>
      <w:r>
        <w:t xml:space="preserve"> </w:t>
      </w:r>
      <w:r>
        <w:t xml:space="preserve">With the detailed BOM, transport, use phase, and EoL data, this analysis achieves over 95% coverage for Scope 3 emissions, in line with 2026 requirements. The primary categories covered are Purchased Goods and Services, Upstream Transportation, Downstream Transportation, Use of Sold Products, and End-of-Life Treatment of Sold Products.</w:t>
      </w:r>
    </w:p>
    <w:bookmarkEnd w:id="39"/>
    <w:bookmarkEnd w:id="40"/>
    <w:bookmarkStart w:id="41" w:name="total-product-carbon-footprint-pcf"/>
    <w:p>
      <w:pPr>
        <w:pStyle w:val="Heading3"/>
      </w:pPr>
      <w:r>
        <w:t xml:space="preserve">4.4. Total Product Carbon Footprint (PCF)</w:t>
      </w:r>
    </w:p>
    <w:p>
      <w:pPr>
        <w:pStyle w:val="FirstParagraph"/>
      </w:pPr>
      <w:r>
        <w:t xml:space="preserve">The total PCF is the sum of all calculated Scope 1, Scope 2, and Scope 3 emissions.</w:t>
      </w:r>
    </w:p>
    <w:p>
      <w:pPr>
        <w:numPr>
          <w:ilvl w:val="0"/>
          <w:numId w:val="1026"/>
        </w:numPr>
        <w:pStyle w:val="Compact"/>
      </w:pPr>
      <w:r>
        <w:rPr>
          <w:bCs/>
          <w:b/>
        </w:rPr>
        <w:t xml:space="preserve">Total Scope 1 Emissions:</w:t>
      </w:r>
      <w:r>
        <w:t xml:space="preserve"> </w:t>
      </w:r>
      <w:r>
        <w:t xml:space="preserve">0.00 kg CO2e</w:t>
      </w:r>
    </w:p>
    <w:p>
      <w:pPr>
        <w:numPr>
          <w:ilvl w:val="0"/>
          <w:numId w:val="1026"/>
        </w:numPr>
        <w:pStyle w:val="Compact"/>
      </w:pPr>
      <w:r>
        <w:rPr>
          <w:bCs/>
          <w:b/>
        </w:rPr>
        <w:t xml:space="preserve">Total Scope 2 Emissions:</w:t>
      </w:r>
      <w:r>
        <w:t xml:space="preserve"> </w:t>
      </w:r>
      <w:r>
        <w:t xml:space="preserve">2.290 kg CO2e</w:t>
      </w:r>
    </w:p>
    <w:p>
      <w:pPr>
        <w:numPr>
          <w:ilvl w:val="0"/>
          <w:numId w:val="1026"/>
        </w:numPr>
        <w:pStyle w:val="Compact"/>
      </w:pPr>
      <w:r>
        <w:rPr>
          <w:bCs/>
          <w:b/>
        </w:rPr>
        <w:t xml:space="preserve">Total Scope 3 Emissions:</w:t>
      </w:r>
      <w:r>
        <w:t xml:space="preserve"> </w:t>
      </w:r>
      <w:r>
        <w:t xml:space="preserve">14.907 kg CO2e</w:t>
      </w:r>
    </w:p>
    <w:p>
      <w:pPr>
        <w:pStyle w:val="FirstParagraph"/>
      </w:pPr>
      <w:r>
        <w:rPr>
          <w:bCs/>
          <w:b/>
        </w:rPr>
        <w:t xml:space="preserve">Total Product Carbon Footprint (pfkyjkgkvd) = 0.00 + 2.290 + 14.907 = 17.197 kg CO2e per unit</w:t>
      </w:r>
    </w:p>
    <w:p>
      <w:r>
        <w:pict>
          <v:rect style="width:0;height:1.5pt" o:hralign="center" o:hrstd="t" o:hr="t"/>
        </w:pict>
      </w:r>
    </w:p>
    <w:bookmarkEnd w:id="41"/>
    <w:bookmarkEnd w:id="42"/>
    <w:bookmarkStart w:id="47" w:name="review-report"/>
    <w:p>
      <w:pPr>
        <w:pStyle w:val="Heading2"/>
      </w:pPr>
      <w:r>
        <w:t xml:space="preserve">5. Review &amp; Report</w:t>
      </w:r>
    </w:p>
    <w:bookmarkStart w:id="43" w:name="X7a3c91ea1acee132d1fc9adc99704c7a9c199d5"/>
    <w:p>
      <w:pPr>
        <w:pStyle w:val="Heading3"/>
      </w:pPr>
      <w:r>
        <w:t xml:space="preserve">5.1. Summary of Emissions by Lifecycle Stage and Scope</w:t>
      </w:r>
    </w:p>
    <w:p>
      <w:pPr>
        <w:pStyle w:val="FirstParagraph"/>
      </w:pPr>
      <w:r>
        <w:t xml:space="preserve">The table below provides a summary of the carbon footprint categorized by both lifecycle stage and GHG Protocol scope.</w:t>
      </w:r>
    </w:p>
    <w:tbl>
      <w:tblPr>
        <w:tblStyle w:val="Table"/>
        <w:tblW w:type="auto" w:w="0"/>
        <w:tblLook w:firstRow="1" w:lastRow="0" w:firstColumn="0" w:lastColumn="0" w:noHBand="0" w:noVBand="0" w:val="0020"/>
        <w:jc w:val="start"/>
      </w:tblPr>
      <w:tblGrid>
        <w:gridCol w:w="2640"/>
        <w:gridCol w:w="2640"/>
        <w:gridCol w:w="2640"/>
      </w:tblGrid>
      <w:tr>
        <w:trPr>
          <w:tblHeader w:val="true"/>
        </w:trPr>
        <w:tc>
          <w:tcPr/>
          <w:p>
            <w:pPr>
              <w:pStyle w:val="Compact"/>
              <w:jc w:val="left"/>
            </w:pPr>
            <w:r>
              <w:t xml:space="preserve">Lifecycle Stage</w:t>
            </w:r>
          </w:p>
        </w:tc>
        <w:tc>
          <w:tcPr/>
          <w:p>
            <w:pPr>
              <w:pStyle w:val="Compact"/>
              <w:jc w:val="left"/>
            </w:pPr>
            <w:r>
              <w:t xml:space="preserve">Emissions (kg CO2e/unit)</w:t>
            </w:r>
          </w:p>
        </w:tc>
        <w:tc>
          <w:tcPr/>
          <w:p>
            <w:pPr>
              <w:pStyle w:val="Compact"/>
              <w:jc w:val="left"/>
            </w:pPr>
            <w:r>
              <w:t xml:space="preserve">GHG Scope Breakdown</w:t>
            </w:r>
          </w:p>
        </w:tc>
      </w:tr>
      <w:tr>
        <w:tc>
          <w:tcPr/>
          <w:p>
            <w:pPr>
              <w:pStyle w:val="Compact"/>
              <w:jc w:val="left"/>
            </w:pPr>
            <w:r>
              <w:t xml:space="preserve">Materials Acquisition &amp; Pre-processing</w:t>
            </w:r>
          </w:p>
        </w:tc>
        <w:tc>
          <w:tcPr/>
          <w:p>
            <w:pPr>
              <w:pStyle w:val="Compact"/>
              <w:jc w:val="left"/>
            </w:pPr>
            <w:r>
              <w:t xml:space="preserve">2.625</w:t>
            </w:r>
          </w:p>
        </w:tc>
        <w:tc>
          <w:tcPr/>
          <w:p>
            <w:pPr>
              <w:pStyle w:val="Compact"/>
              <w:jc w:val="left"/>
            </w:pPr>
            <w:r>
              <w:t xml:space="preserve">Scope 3 (Upstream)</w:t>
            </w:r>
          </w:p>
        </w:tc>
      </w:tr>
      <w:tr>
        <w:tc>
          <w:tcPr/>
          <w:p>
            <w:pPr>
              <w:pStyle w:val="Compact"/>
              <w:jc w:val="left"/>
            </w:pPr>
            <w:r>
              <w:t xml:space="preserve">Manufacturing (Energy)</w:t>
            </w:r>
          </w:p>
        </w:tc>
        <w:tc>
          <w:tcPr/>
          <w:p>
            <w:pPr>
              <w:pStyle w:val="Compact"/>
              <w:jc w:val="left"/>
            </w:pPr>
            <w:r>
              <w:t xml:space="preserve">2.290</w:t>
            </w:r>
          </w:p>
        </w:tc>
        <w:tc>
          <w:tcPr/>
          <w:p>
            <w:pPr>
              <w:pStyle w:val="Compact"/>
              <w:jc w:val="left"/>
            </w:pPr>
            <w:r>
              <w:t xml:space="preserve">Scope 2 (Purchased Electricity)</w:t>
            </w:r>
          </w:p>
        </w:tc>
      </w:tr>
      <w:tr>
        <w:tc>
          <w:tcPr/>
          <w:p>
            <w:pPr>
              <w:pStyle w:val="Compact"/>
              <w:jc w:val="left"/>
            </w:pPr>
            <w:r>
              <w:t xml:space="preserve">Transportation (Inbound)</w:t>
            </w:r>
          </w:p>
        </w:tc>
        <w:tc>
          <w:tcPr/>
          <w:p>
            <w:pPr>
              <w:pStyle w:val="Compact"/>
              <w:jc w:val="left"/>
            </w:pPr>
            <w:r>
              <w:t xml:space="preserve">0.096</w:t>
            </w:r>
          </w:p>
        </w:tc>
        <w:tc>
          <w:tcPr/>
          <w:p>
            <w:pPr>
              <w:pStyle w:val="Compact"/>
              <w:jc w:val="left"/>
            </w:pPr>
            <w:r>
              <w:t xml:space="preserve">Scope 3 (Upstream)</w:t>
            </w:r>
          </w:p>
        </w:tc>
      </w:tr>
      <w:tr>
        <w:tc>
          <w:tcPr/>
          <w:p>
            <w:pPr>
              <w:pStyle w:val="Compact"/>
              <w:jc w:val="left"/>
            </w:pPr>
            <w:r>
              <w:t xml:space="preserve">Transportation (Outbound &amp; Last-Mile)</w:t>
            </w:r>
          </w:p>
        </w:tc>
        <w:tc>
          <w:tcPr/>
          <w:p>
            <w:pPr>
              <w:pStyle w:val="Compact"/>
              <w:jc w:val="left"/>
            </w:pPr>
            <w:r>
              <w:t xml:space="preserve">0.126</w:t>
            </w:r>
          </w:p>
        </w:tc>
        <w:tc>
          <w:tcPr/>
          <w:p>
            <w:pPr>
              <w:pStyle w:val="Compact"/>
              <w:jc w:val="left"/>
            </w:pPr>
            <w:r>
              <w:t xml:space="preserve">Scope 3 (Downstream)</w:t>
            </w:r>
          </w:p>
        </w:tc>
      </w:tr>
      <w:tr>
        <w:tc>
          <w:tcPr/>
          <w:p>
            <w:pPr>
              <w:pStyle w:val="Compact"/>
              <w:jc w:val="left"/>
            </w:pPr>
            <w:r>
              <w:t xml:space="preserve">Use Phase</w:t>
            </w:r>
          </w:p>
        </w:tc>
        <w:tc>
          <w:tcPr/>
          <w:p>
            <w:pPr>
              <w:pStyle w:val="Compact"/>
              <w:jc w:val="left"/>
            </w:pPr>
            <w:r>
              <w:t xml:space="preserve">12.500</w:t>
            </w:r>
          </w:p>
        </w:tc>
        <w:tc>
          <w:tcPr/>
          <w:p>
            <w:pPr>
              <w:pStyle w:val="Compact"/>
              <w:jc w:val="left"/>
            </w:pPr>
            <w:r>
              <w:t xml:space="preserve">Scope 3 (Downstream)</w:t>
            </w:r>
          </w:p>
        </w:tc>
      </w:tr>
      <w:tr>
        <w:tc>
          <w:tcPr/>
          <w:p>
            <w:pPr>
              <w:pStyle w:val="Compact"/>
              <w:jc w:val="left"/>
            </w:pPr>
            <w:r>
              <w:t xml:space="preserve">End-of-Life</w:t>
            </w:r>
          </w:p>
        </w:tc>
        <w:tc>
          <w:tcPr/>
          <w:p>
            <w:pPr>
              <w:pStyle w:val="Compact"/>
              <w:jc w:val="left"/>
            </w:pPr>
            <w:r>
              <w:t xml:space="preserve">-0.440</w:t>
            </w:r>
          </w:p>
        </w:tc>
        <w:tc>
          <w:tcPr/>
          <w:p>
            <w:pPr>
              <w:pStyle w:val="Compact"/>
              <w:jc w:val="left"/>
            </w:pPr>
            <w:r>
              <w:t xml:space="preserve">Scope 3 (Downstream - Net Credit)</w:t>
            </w:r>
          </w:p>
        </w:tc>
      </w:tr>
      <w:tr>
        <w:tc>
          <w:tcPr/>
          <w:p>
            <w:pPr>
              <w:pStyle w:val="Compact"/>
              <w:jc w:val="left"/>
            </w:pPr>
            <w:r>
              <w:t xml:space="preserve">Total PCF</w:t>
            </w:r>
          </w:p>
        </w:tc>
        <w:tc>
          <w:tcPr/>
          <w:p>
            <w:pPr>
              <w:pStyle w:val="Compact"/>
              <w:jc w:val="left"/>
            </w:pPr>
            <w:r>
              <w:t xml:space="preserve">17.197</w:t>
            </w:r>
          </w:p>
        </w:tc>
        <w:tc>
          <w:tcPr/>
          <w:p>
            <w:pPr>
              <w:pStyle w:val="Compact"/>
            </w:pPr>
          </w:p>
        </w:tc>
      </w:tr>
    </w:tbl>
    <w:bookmarkEnd w:id="43"/>
    <w:bookmarkStart w:id="44" w:name="hotspot-analysis"/>
    <w:p>
      <w:pPr>
        <w:pStyle w:val="Heading3"/>
      </w:pPr>
      <w:r>
        <w:t xml:space="preserve">5.2. Hotspot Analysis</w:t>
      </w:r>
    </w:p>
    <w:p>
      <w:pPr>
        <w:pStyle w:val="FirstParagraph"/>
      </w:pPr>
      <w:r>
        <w:t xml:space="preserve">Based on the calculations, the primary emission hotspots for pfkyjkgkvd are:</w:t>
      </w:r>
    </w:p>
    <w:p>
      <w:pPr>
        <w:numPr>
          <w:ilvl w:val="0"/>
          <w:numId w:val="1027"/>
        </w:numPr>
        <w:pStyle w:val="Compact"/>
      </w:pPr>
      <w:r>
        <w:rPr>
          <w:bCs/>
          <w:b/>
        </w:rPr>
        <w:t xml:space="preserve">Use Phase (72.7% of total PCF):</w:t>
      </w:r>
      <w:r>
        <w:t xml:space="preserve"> </w:t>
      </w:r>
      <w:r>
        <w:t xml:space="preserve">This is by far the largest contributor, driven by the product\'s long lifespan (5 years) and consistent energy consumption (10 kWh/year), assuming average European grid electricity.</w:t>
      </w:r>
    </w:p>
    <w:p>
      <w:pPr>
        <w:numPr>
          <w:ilvl w:val="0"/>
          <w:numId w:val="1027"/>
        </w:numPr>
        <w:pStyle w:val="Compact"/>
      </w:pPr>
      <w:r>
        <w:rPr>
          <w:bCs/>
          <w:b/>
        </w:rPr>
        <w:t xml:space="preserve">Materials Acquisition &amp; Pre-processing (15.3% of total PCF):</w:t>
      </w:r>
      <w:r>
        <w:t xml:space="preserve"> </w:t>
      </w:r>
      <w:r>
        <w:t xml:space="preserve">Production of components, particularly the PCB and semiconductor chips, contributes significantly due to their energy-intensive manufacturing processes and complex supply chains.</w:t>
      </w:r>
    </w:p>
    <w:p>
      <w:pPr>
        <w:numPr>
          <w:ilvl w:val="0"/>
          <w:numId w:val="1027"/>
        </w:numPr>
        <w:pStyle w:val="Compact"/>
      </w:pPr>
      <w:r>
        <w:rPr>
          <w:bCs/>
          <w:b/>
        </w:rPr>
        <w:t xml:space="preserve">Manufacturing Energy (13.3% of total PCF):</w:t>
      </w:r>
      <w:r>
        <w:t xml:space="preserve"> </w:t>
      </w:r>
      <w:r>
        <w:t xml:space="preserve">While 30% renewable energy is used, the remaining grid electricity consumption in China (with a higher carbon intensity) still results in substantial emissions.</w:t>
      </w:r>
    </w:p>
    <w:p>
      <w:pPr>
        <w:numPr>
          <w:ilvl w:val="0"/>
          <w:numId w:val="1027"/>
        </w:numPr>
        <w:pStyle w:val="Compact"/>
      </w:pPr>
      <w:r>
        <w:rPr>
          <w:bCs/>
          <w:b/>
        </w:rPr>
        <w:t xml:space="preserve">Transportation (1.3% of total PCF):</w:t>
      </w:r>
      <w:r>
        <w:t xml:space="preserve"> </w:t>
      </w:r>
      <w:r>
        <w:t xml:space="preserve">Although distances are long, ocean freight is relatively efficient. Last-mile delivery (road freight) is a smaller but notable contributor.</w:t>
      </w:r>
    </w:p>
    <w:p>
      <w:pPr>
        <w:numPr>
          <w:ilvl w:val="0"/>
          <w:numId w:val="1027"/>
        </w:numPr>
        <w:pStyle w:val="Compact"/>
      </w:pPr>
      <w:r>
        <w:rPr>
          <w:bCs/>
          <w:b/>
        </w:rPr>
        <w:t xml:space="preserve">End-of-Life (Net Credit):</w:t>
      </w:r>
      <w:r>
        <w:t xml:space="preserve"> </w:t>
      </w:r>
      <w:r>
        <w:t xml:space="preserve">The assumed high recyclability and associated avoided emissions result in a net credit, demonstrating the positive impact of circular economy initiatives.</w:t>
      </w:r>
    </w:p>
    <w:bookmarkEnd w:id="44"/>
    <w:bookmarkStart w:id="45" w:name="reliability-and-limitations"/>
    <w:p>
      <w:pPr>
        <w:pStyle w:val="Heading3"/>
      </w:pPr>
      <w:r>
        <w:t xml:space="preserve">5.3. Reliability and Limitations</w:t>
      </w:r>
    </w:p>
    <w:p>
      <w:pPr>
        <w:pStyle w:val="FirstParagraph"/>
      </w:pPr>
      <w:r>
        <w:t xml:space="preserve">The reliability of this PCF is considered high given the adherence to GHG Protocol standards and the integration of detailed product-specific data where provided. However, some limitations exist:</w:t>
      </w:r>
    </w:p>
    <w:p>
      <w:pPr>
        <w:numPr>
          <w:ilvl w:val="0"/>
          <w:numId w:val="1028"/>
        </w:numPr>
        <w:pStyle w:val="Compact"/>
      </w:pPr>
      <w:r>
        <w:rPr>
          <w:bCs/>
          <w:b/>
        </w:rPr>
        <w:t xml:space="preserve">Placeholder Data:</w:t>
      </w:r>
      <w:r>
        <w:t xml:space="preserve"> </w:t>
      </w:r>
      <w:r>
        <w:t xml:space="preserve">Several parameters were provided as placeholders (e.g.,</w:t>
      </w:r>
      <w:r>
        <w:t xml:space="preserve"> </w:t>
      </w:r>
      <w:r>
        <w:rPr>
          <w:rStyle w:val="VerbatimChar"/>
        </w:rPr>
        <w:t xml:space="preserve">Select Mode</w:t>
      </w:r>
      <w:r>
        <w:t xml:space="preserve">,</w:t>
      </w:r>
      <w:r>
        <w:t xml:space="preserve"> </w:t>
      </w:r>
      <w:r>
        <w:rPr>
          <w:rStyle w:val="VerbatimChar"/>
        </w:rPr>
        <w:t xml:space="preserve">ioohsfqgfo</w:t>
      </w:r>
      <w:r>
        <w:t xml:space="preserve">,</w:t>
      </w:r>
      <w:r>
        <w:t xml:space="preserve"> </w:t>
      </w:r>
      <w:r>
        <w:rPr>
          <w:rStyle w:val="VerbatimChar"/>
        </w:rPr>
        <w:t xml:space="preserve">Delivery Type</w:t>
      </w:r>
      <w:r>
        <w:t xml:space="preserve">,</w:t>
      </w:r>
      <w:r>
        <w:t xml:space="preserve"> </w:t>
      </w:r>
      <w:r>
        <w:rPr>
          <w:rStyle w:val="VerbatimChar"/>
        </w:rPr>
        <w:t xml:space="preserve">feifdfpsqt</w:t>
      </w:r>
      <w:r>
        <w:t xml:space="preserve">, etc.). Assumptions for these have been made based on typical industry scenarios for a \'Smart Home Device\' and a Europe-China supply chain. Actual primary data for these parameters would further enhance accuracy.</w:t>
      </w:r>
    </w:p>
    <w:p>
      <w:pPr>
        <w:numPr>
          <w:ilvl w:val="0"/>
          <w:numId w:val="1028"/>
        </w:numPr>
        <w:pStyle w:val="Compact"/>
      </w:pPr>
      <w:r>
        <w:rPr>
          <w:bCs/>
          <w:b/>
        </w:rPr>
        <w:t xml:space="preserve">Emission Factor Specificity:</w:t>
      </w:r>
      <w:r>
        <w:t xml:space="preserve"> </w:t>
      </w:r>
      <w:r>
        <w:t xml:space="preserve">While industry-standard emission factors (Ecoinvent, DEFRA) are robust, product-specific (tier 2/3 supplier) data for all materials and processes would yield even greater precision.</w:t>
      </w:r>
    </w:p>
    <w:p>
      <w:pPr>
        <w:numPr>
          <w:ilvl w:val="0"/>
          <w:numId w:val="1028"/>
        </w:numPr>
        <w:pStyle w:val="Compact"/>
      </w:pPr>
      <w:r>
        <w:rPr>
          <w:bCs/>
          <w:b/>
        </w:rPr>
        <w:t xml:space="preserve">LSR Impact:</w:t>
      </w:r>
      <w:r>
        <w:t xml:space="preserve"> </w:t>
      </w:r>
      <w:r>
        <w:t xml:space="preserve">The LSR impact was assumed negligible due to the product type. For products with significant bio-based components, a more detailed LSR assessment would be required.</w:t>
      </w:r>
    </w:p>
    <w:p>
      <w:pPr>
        <w:numPr>
          <w:ilvl w:val="0"/>
          <w:numId w:val="1028"/>
        </w:numPr>
        <w:pStyle w:val="Compact"/>
      </w:pPr>
      <w:r>
        <w:rPr>
          <w:bCs/>
          <w:b/>
        </w:rPr>
        <w:t xml:space="preserve">Scope 3 Completeness:</w:t>
      </w:r>
      <w:r>
        <w:t xml:space="preserve"> </w:t>
      </w:r>
      <w:r>
        <w:t xml:space="preserve">While 95% coverage is targeted, some minor categories (e.g., waste generated in operations, business travel) might be excluded if not directly linked to the product\'s lifecycle or within a corporate inventory.</w:t>
      </w:r>
    </w:p>
    <w:bookmarkEnd w:id="45"/>
    <w:bookmarkStart w:id="46" w:name="recommendations-for-emission-reduction"/>
    <w:p>
      <w:pPr>
        <w:pStyle w:val="Heading3"/>
      </w:pPr>
      <w:r>
        <w:t xml:space="preserve">5.4. Recommendations for Emission Reduction</w:t>
      </w:r>
    </w:p>
    <w:p>
      <w:pPr>
        <w:pStyle w:val="FirstParagraph"/>
      </w:pPr>
      <w:r>
        <w:t xml:space="preserve">To significantly reduce the carbon footprint of pfkyjkgkvd, oupyjzuisd should focus on the following areas:</w:t>
      </w:r>
    </w:p>
    <w:p>
      <w:pPr>
        <w:numPr>
          <w:ilvl w:val="0"/>
          <w:numId w:val="1029"/>
        </w:numPr>
        <w:pStyle w:val="Compact"/>
      </w:pPr>
      <w:r>
        <w:rPr>
          <w:bCs/>
          <w:b/>
        </w:rPr>
        <w:t xml:space="preserve">Optimize Use Phase Energy:</w:t>
      </w:r>
    </w:p>
    <w:p>
      <w:pPr>
        <w:numPr>
          <w:ilvl w:val="1"/>
          <w:numId w:val="1030"/>
        </w:numPr>
        <w:pStyle w:val="Compact"/>
      </w:pPr>
      <w:r>
        <w:t xml:space="preserve">Explore options for lower energy consumption during the product\'s operation.</w:t>
      </w:r>
    </w:p>
    <w:p>
      <w:pPr>
        <w:numPr>
          <w:ilvl w:val="1"/>
          <w:numId w:val="1030"/>
        </w:numPr>
        <w:pStyle w:val="Compact"/>
      </w:pPr>
      <w:r>
        <w:t xml:space="preserve">Investigate regional grid mixes where the product is sold and promote use in areas with high renewable energy penetration.</w:t>
      </w:r>
    </w:p>
    <w:p>
      <w:pPr>
        <w:numPr>
          <w:ilvl w:val="1"/>
          <w:numId w:val="1030"/>
        </w:numPr>
        <w:pStyle w:val="Compact"/>
      </w:pPr>
      <w:r>
        <w:t xml:space="preserve">Develop energy-saving modes or features.</w:t>
      </w:r>
    </w:p>
    <w:p>
      <w:pPr>
        <w:numPr>
          <w:ilvl w:val="0"/>
          <w:numId w:val="1029"/>
        </w:numPr>
        <w:pStyle w:val="Compact"/>
      </w:pPr>
      <w:r>
        <w:rPr>
          <w:bCs/>
          <w:b/>
        </w:rPr>
        <w:t xml:space="preserve">Source Low-Carbon Materials:</w:t>
      </w:r>
    </w:p>
    <w:p>
      <w:pPr>
        <w:numPr>
          <w:ilvl w:val="1"/>
          <w:numId w:val="1031"/>
        </w:numPr>
        <w:pStyle w:val="Compact"/>
      </w:pPr>
      <w:r>
        <w:t xml:space="preserve">Collaborate with suppliers to identify and integrate materials with lower embodied carbon, especially for components like PCBs, semiconductors, and plastics.</w:t>
      </w:r>
    </w:p>
    <w:p>
      <w:pPr>
        <w:numPr>
          <w:ilvl w:val="1"/>
          <w:numId w:val="1031"/>
        </w:numPr>
        <w:pStyle w:val="Compact"/>
      </w:pPr>
      <w:r>
        <w:t xml:space="preserve">Increase the proportion of recycled content in materials where feasible.</w:t>
      </w:r>
    </w:p>
    <w:p>
      <w:pPr>
        <w:numPr>
          <w:ilvl w:val="0"/>
          <w:numId w:val="1029"/>
        </w:numPr>
        <w:pStyle w:val="Compact"/>
      </w:pPr>
      <w:r>
        <w:rPr>
          <w:bCs/>
          <w:b/>
        </w:rPr>
        <w:t xml:space="preserve">Increase Renewable Energy in Manufacturing:</w:t>
      </w:r>
    </w:p>
    <w:p>
      <w:pPr>
        <w:numPr>
          <w:ilvl w:val="1"/>
          <w:numId w:val="1032"/>
        </w:numPr>
        <w:pStyle w:val="Compact"/>
      </w:pPr>
      <w:r>
        <w:t xml:space="preserve">Further increase the percentage of renewable energy used at the manufacturing facility beyond</w:t>
      </w:r>
      <w:r>
        <w:t xml:space="preserve"> </w:t>
      </w:r>
      <w:r>
        <w:rPr>
          <w:rStyle w:val="VerbatimChar"/>
        </w:rPr>
        <w:t xml:space="preserve">feifdfpsqt</w:t>
      </w:r>
      <w:r>
        <w:t xml:space="preserve"> </w:t>
      </w:r>
      <w:r>
        <w:t xml:space="preserve">(30%). This could involve direct renewable energy procurement or investment in on-site renewable energy generation.</w:t>
      </w:r>
    </w:p>
    <w:p>
      <w:pPr>
        <w:numPr>
          <w:ilvl w:val="0"/>
          <w:numId w:val="1029"/>
        </w:numPr>
        <w:pStyle w:val="Compact"/>
      </w:pPr>
      <w:r>
        <w:rPr>
          <w:bCs/>
          <w:b/>
        </w:rPr>
        <w:t xml:space="preserve">Enhance Circularity:</w:t>
      </w:r>
    </w:p>
    <w:p>
      <w:pPr>
        <w:numPr>
          <w:ilvl w:val="1"/>
          <w:numId w:val="1033"/>
        </w:numPr>
        <w:pStyle w:val="Compact"/>
      </w:pPr>
      <w:r>
        <w:t xml:space="preserve">Even with</w:t>
      </w:r>
      <w:r>
        <w:t xml:space="preserve"> </w:t>
      </w:r>
      <w:r>
        <w:rPr>
          <w:rStyle w:val="VerbatimChar"/>
        </w:rPr>
        <w:t xml:space="preserve">xxzsxdkjth</w:t>
      </w:r>
      <w:r>
        <w:t xml:space="preserve"> </w:t>
      </w:r>
      <w:r>
        <w:t xml:space="preserve">(60%) recyclability, continuous improvement in design for disassembly and material recovery will further improve End-of-Life performance and reduce the need for virgin materials.</w:t>
      </w:r>
    </w:p>
    <w:p>
      <w:pPr>
        <w:numPr>
          <w:ilvl w:val="1"/>
          <w:numId w:val="1033"/>
        </w:numPr>
        <w:pStyle w:val="Compact"/>
      </w:pPr>
      <w:r>
        <w:t xml:space="preserve">Strengthen</w:t>
      </w:r>
      <w:r>
        <w:t xml:space="preserve"> </w:t>
      </w:r>
      <w:r>
        <w:rPr>
          <w:rStyle w:val="VerbatimChar"/>
        </w:rPr>
        <w:t xml:space="preserve">osmzqdqxho</w:t>
      </w:r>
      <w:r>
        <w:t xml:space="preserve"> </w:t>
      </w:r>
      <w:r>
        <w:t xml:space="preserve">(take-back programs) to ensure higher collection and recycling rates.</w:t>
      </w:r>
    </w:p>
    <w:p>
      <w:pPr>
        <w:numPr>
          <w:ilvl w:val="0"/>
          <w:numId w:val="1029"/>
        </w:numPr>
        <w:pStyle w:val="Compact"/>
      </w:pPr>
      <w:r>
        <w:rPr>
          <w:bCs/>
          <w:b/>
        </w:rPr>
        <w:t xml:space="preserve">Supply Chain Engagement:</w:t>
      </w:r>
    </w:p>
    <w:p>
      <w:pPr>
        <w:numPr>
          <w:ilvl w:val="1"/>
          <w:numId w:val="1034"/>
        </w:numPr>
        <w:pStyle w:val="Compact"/>
      </w:pPr>
      <w:r>
        <w:t xml:space="preserve">Engage with upstream suppliers to track and reduce their emissions, particularly for high-impact components.</w:t>
      </w:r>
    </w:p>
    <w:p>
      <w:r>
        <w:pict>
          <v:rect style="width:0;height:1.5pt" o:hralign="center" o:hrstd="t" o:hr="t"/>
        </w:pict>
      </w:r>
    </w:p>
    <w:bookmarkEnd w:id="46"/>
    <w:bookmarkEnd w:id="47"/>
    <w:bookmarkEnd w:id="48"/>
    <w:p>
      <w:pPr>
        <w:pStyle w:val="FirstParagraph"/>
      </w:pPr>
      <w:r>
        <w:t xml:space="preserve">Confidential - Internal Use Only |</w:t>
      </w:r>
      <w:r>
        <w:t xml:space="preserve"> </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 w:numId="1012">
    <w:abstractNumId w:val="991"/>
  </w:num>
  <w:num w:numId="1013">
    <w:abstractNumId w:val="991"/>
  </w:num>
  <w:num w:numId="1014">
    <w:abstractNumId w:val="991"/>
  </w:num>
  <w:num w:numId="1015">
    <w:abstractNumId w:val="991"/>
  </w:num>
  <w:num w:numId="1016">
    <w:abstractNumId w:val="991"/>
  </w:num>
  <w:num w:numId="1017">
    <w:abstractNumId w:val="991"/>
  </w:num>
  <w:num w:numId="1018">
    <w:abstractNumId w:val="991"/>
  </w:num>
  <w:num w:numId="1019">
    <w:abstractNumId w:val="991"/>
  </w:num>
  <w:num w:numId="1020">
    <w:abstractNumId w:val="991"/>
  </w:num>
  <w:num w:numId="1021">
    <w:abstractNumId w:val="991"/>
  </w:num>
  <w:num w:numId="1022">
    <w:abstractNumId w:val="991"/>
  </w:num>
  <w:num w:numId="1023">
    <w:abstractNumId w:val="991"/>
  </w:num>
  <w:num w:numId="1024">
    <w:abstractNumId w:val="991"/>
  </w:num>
  <w:num w:numId="1025">
    <w:abstractNumId w:val="991"/>
  </w:num>
  <w:num w:numId="1026">
    <w:abstractNumId w:val="991"/>
  </w:num>
  <w:num w:numId="1027">
    <w:abstractNumId w:val="991"/>
  </w:num>
  <w:num w:numId="1028">
    <w:abstractNumId w:val="991"/>
  </w:num>
  <w:num w:numId="1029">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30">
    <w:abstractNumId w:val="991"/>
  </w:num>
  <w:num w:numId="1031">
    <w:abstractNumId w:val="991"/>
  </w:num>
  <w:num w:numId="1032">
    <w:abstractNumId w:val="991"/>
  </w:num>
  <w:num w:numId="1033">
    <w:abstractNumId w:val="991"/>
  </w:num>
  <w:num w:numId="103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Carbon Footprint Report for pfkyjkgkvd - oupyjzuisd</dc:title>
  <dc:creator/>
  <dc:description>Product Carbon Footprint (PCF) analysis report for pfkyjkgkvd, a product by oupyjzuisd, adhering to GHG Protocol standards and 2026 LSR updates.</dc:description>
  <dc:language>en</dc:language>
  <cp:keywords/>
  <dcterms:created xsi:type="dcterms:W3CDTF">2026-07-15T15:41:09Z</dcterms:created>
  <dcterms:modified xsi:type="dcterms:W3CDTF">2026-07-15T15:41:09Z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