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oyfnxkewjs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oyfnxkewjs</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yymnoxvhup</w:t>
      </w:r>
    </w:p>
    <w:p>
      <w:pPr>
        <w:pStyle w:val="BodyText"/>
      </w:pPr>
      <w:r>
        <w:rPr>
          <w:bCs/>
          <w:b/>
        </w:rPr>
        <w:t xml:space="preserve">Senior Sustainability Consultant:</w:t>
      </w:r>
      <w:r>
        <w:t xml:space="preserve"> </w:t>
      </w:r>
      <w:r>
        <w:t xml:space="preserve">tmtxekelid</w:t>
      </w:r>
    </w:p>
    <w:p>
      <w:pPr>
        <w:pStyle w:val="BodyText"/>
      </w:pPr>
      <w:r>
        <w:t xml:space="preserve">This report is generated based on available data and industry standards, providing an estimate of the product\'s carbon footprint.</w:t>
      </w:r>
    </w:p>
    <w:bookmarkEnd w:id="20"/>
    <w:bookmarkStart w:id="50" w:name="X328d05b91c8b4f25facd65bad1b9703768b0083"/>
    <w:p>
      <w:pPr>
        <w:pStyle w:val="Heading1"/>
      </w:pPr>
      <w:r>
        <w:t xml:space="preserve">Product Carbon Footprint Analysis Report: oyfnxkewjs</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\'oyfnxkewjs\', manufactured by yymnoxvhup. As Senior Sustainability Consultant tmtxekelid, this analysis adheres to the GHG Protocol Product Standard, incorporating the latest 2026 Land Sector and Removals (LSR) Standard update and striving for 95% Scope 3 coverage. The assessment covers the product\'s lifecycle from raw material acquisition to end-of-life (cradle-to-grave, with a factory-gate system boundary for direct operations), identifying key emission hotspots and circular economy impacts.</w:t>
      </w:r>
    </w:p>
    <w:p>
      <w:pPr>
        <w:pStyle w:val="BodyText"/>
      </w:pPr>
      <w:r>
        <w:t xml:space="preserve">The total estimated Product Carbon Footprint for one functional unit of oyfnxkewjs is</w:t>
      </w:r>
      <w:r>
        <w:t xml:space="preserve"> </w:t>
      </w:r>
      <w:r>
        <w:rPr>
          <w:bCs/>
          <w:b/>
        </w:rPr>
        <w:t xml:space="preserve">11.08 kg CO₂e</w:t>
      </w:r>
      <w:r>
        <w:t xml:space="preserve">. The primary hotspots identified are the use phase electricity consumption and raw material extraction and processing.</w:t>
      </w:r>
    </w:p>
    <w:p>
      <w:r>
        <w:pict>
          <v:rect style="width:0;height:1.5pt" o:hralign="center" o:hrstd="t" o:hr="t"/>
        </w:pict>
      </w:r>
    </w:p>
    <w:bookmarkEnd w:id="21"/>
    <w:bookmarkStart w:id="23" w:name="define-scope"/>
    <w:p>
      <w:pPr>
        <w:pStyle w:val="Heading2"/>
      </w:pPr>
      <w:r>
        <w:t xml:space="preserve">1. Define Scope</w:t>
      </w:r>
    </w:p>
    <w:p>
      <w:pPr>
        <w:pStyle w:val="FirstParagraph"/>
      </w:pPr>
      <w:r>
        <w:t xml:space="preserve">This section outlines the foundational parameters for the Product Carbon Footprint (PCF) analysis of \'oyfnxkewjs\'.</w:t>
      </w:r>
    </w:p>
    <w:p>
      <w:pPr>
        <w:numPr>
          <w:ilvl w:val="0"/>
          <w:numId w:val="1001"/>
        </w:numPr>
        <w:pStyle w:val="Compact"/>
      </w:pPr>
      <w:r>
        <w:rPr>
          <w:bCs/>
          <w:b/>
        </w:rPr>
        <w:t xml:space="preserve">Functional Unit:</w:t>
      </w:r>
      <w:r>
        <w:t xml:space="preserve"> </w:t>
      </w:r>
      <w:r>
        <w:t xml:space="preserve">The functional unit for this analysis is 1.0 unit of \'oyfnxkewjs\'. This unit serves as the reference basis for quantifying all inputs, outputs, and potential environmental impacts throughout the product\'s lifecycle.</w:t>
      </w:r>
    </w:p>
    <w:p>
      <w:pPr>
        <w:numPr>
          <w:ilvl w:val="0"/>
          <w:numId w:val="1001"/>
        </w:numPr>
        <w:pStyle w:val="Compact"/>
      </w:pPr>
      <w:r>
        <w:rPr>
          <w:bCs/>
          <w:b/>
        </w:rPr>
        <w:t xml:space="preserve">System Boundary:</w:t>
      </w:r>
      <w:r>
        <w:t xml:space="preserve"> </w:t>
      </w:r>
      <w:r>
        <w:t xml:space="preserve">The system boundary is defined as \'factory_gate\'. However, to provide a comprehensive cradle-to-grave perspective reflecting circular economy impacts and downstream emissions, the analysis extends beyond the strict factory gate to include upstream material acquisition and transportation, production energy at the factory, the product\'s use phase, and its end-of-life treatment. Emissions are categorized according to the GHG Protocol.</w:t>
      </w:r>
    </w:p>
    <w:p>
      <w:pPr>
        <w:numPr>
          <w:ilvl w:val="0"/>
          <w:numId w:val="1001"/>
        </w:numPr>
        <w:pStyle w:val="Compact"/>
      </w:pPr>
      <w:r>
        <w:rPr>
          <w:bCs/>
          <w:b/>
        </w:rPr>
        <w:t xml:space="preserve">Geographic Scope:</w:t>
      </w:r>
      <w:r>
        <w:t xml:space="preserve"> </w:t>
      </w:r>
      <w:r>
        <w:t xml:space="preserve">The final production country for \'oyfnxkewjs\' is China. The supply chain focus, particularly for distribution and use phase, is Europe. Emission factors are selected to reflect these geographical contexts where possible.</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2">
        <w:r>
          <w:rPr>
            <w:rStyle w:val="Hyperlink"/>
          </w:rPr>
          <w:t xml:space="preserve">GHG Protocol Product Life Cycle Accounting and Reporting Standard</w:t>
        </w:r>
      </w:hyperlink>
      <w:r>
        <w:t xml:space="preserve">. All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transportation with other goods), allocation is performed based on mass. Credits for recycling are applied at the end-of-life stage to reflect circularity benefits.</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The lifecycle of \'oyfnxkewjs\' is mapped across five key stages: Material Acquisition &amp; Pre-processing, Production, Transportation, Use Phase, and End-of-Life. Data for these stages were collected from the provided parameters and supplemented with industry-standard emission factors.</w:t>
      </w:r>
    </w:p>
    <w:bookmarkStart w:id="24" w:name="Xd7499cf4264286495a4d591b50f52382fbcbe05"/>
    <w:p>
      <w:pPr>
        <w:pStyle w:val="Heading3"/>
      </w:pPr>
      <w:r>
        <w:t xml:space="preserve">Detailed Bill of Materials (BOM) for oyfnxkewjs (uuvlyqjq)</w:t>
      </w:r>
    </w:p>
    <w:p>
      <w:pPr>
        <w:pStyle w:val="FirstParagraph"/>
      </w:pPr>
      <w:r>
        <w:t xml:space="preserve">The following Bill of Materials (BOM) provides the basis for calculating the raw material acquisition and processing emissions. The \'Total Carbon\' value for each item is directly used as its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r>
        <w:tc>
          <w:tcPr>
            <w:gridSpan w:val="7"/>
          </w:tcPr>
          <w:p>
            <w:pPr>
              <w:pStyle w:val="Compact"/>
              <w:jc w:val="left"/>
            </w:pPr>
            <w:r>
              <w:rPr>
                <w:bCs/>
                <w:b/>
              </w:rPr>
              <w:t xml:space="preserve">Total Material Mass:</w:t>
            </w:r>
          </w:p>
        </w:tc>
        <w:tc>
          <w:tcPr/>
          <w:p>
            <w:pPr>
              <w:pStyle w:val="Compact"/>
              <w:jc w:val="left"/>
            </w:pPr>
            <w:r>
              <w:rPr>
                <w:bCs/>
                <w:b/>
              </w:rPr>
              <w:t xml:space="preserve">0.45 kg</w:t>
            </w:r>
          </w:p>
        </w:tc>
      </w:tr>
      <w:tr>
        <w:tc>
          <w:tcPr>
            <w:gridSpan w:val="7"/>
          </w:tcPr>
          <w:p>
            <w:pPr>
              <w:pStyle w:val="Compact"/>
              <w:jc w:val="left"/>
            </w:pPr>
            <w:r>
              <w:rPr>
                <w:bCs/>
                <w:b/>
              </w:rPr>
              <w:t xml:space="preserve">Total Material Carbon Impact:</w:t>
            </w:r>
          </w:p>
        </w:tc>
        <w:tc>
          <w:tcPr/>
          <w:p>
            <w:pPr>
              <w:pStyle w:val="Compact"/>
              <w:jc w:val="left"/>
            </w:pPr>
            <w:r>
              <w:rPr>
                <w:bCs/>
                <w:b/>
              </w:rPr>
              <w:t xml:space="preserve">3.06 kg CO₂e</w:t>
            </w:r>
          </w:p>
        </w:tc>
      </w:tr>
    </w:tbl>
    <w:bookmarkEnd w:id="24"/>
    <w:bookmarkStart w:id="25" w:name="energy-inputs-for-production-phase"/>
    <w:p>
      <w:pPr>
        <w:pStyle w:val="Heading3"/>
      </w:pPr>
      <w:r>
        <w:t xml:space="preserve">Energy Inputs for Production Phase</w:t>
      </w:r>
    </w:p>
    <w:p>
      <w:pPr>
        <w:numPr>
          <w:ilvl w:val="0"/>
          <w:numId w:val="1002"/>
        </w:numPr>
        <w:pStyle w:val="Compact"/>
      </w:pPr>
      <w:r>
        <w:rPr>
          <w:bCs/>
          <w:b/>
        </w:rPr>
        <w:t xml:space="preserve">Energy Intensity (kWh/unit):</w:t>
      </w:r>
      <w:r>
        <w:t xml:space="preserve"> </w:t>
      </w:r>
      <w:r>
        <w:t xml:space="preserve">nzqwkjordz (15 kWh/unit)</w:t>
      </w:r>
    </w:p>
    <w:p>
      <w:pPr>
        <w:numPr>
          <w:ilvl w:val="0"/>
          <w:numId w:val="1002"/>
        </w:numPr>
        <w:pStyle w:val="Compact"/>
      </w:pPr>
      <w:r>
        <w:rPr>
          <w:bCs/>
          <w:b/>
        </w:rPr>
        <w:t xml:space="preserve">Renewable Energy Usage:</w:t>
      </w:r>
      <w:r>
        <w:t xml:space="preserve"> </w:t>
      </w:r>
      <w:r>
        <w:t xml:space="preserve">lqizyjheml (60%)</w:t>
      </w:r>
    </w:p>
    <w:p>
      <w:pPr>
        <w:numPr>
          <w:ilvl w:val="0"/>
          <w:numId w:val="1002"/>
        </w:numPr>
        <w:pStyle w:val="Compact"/>
      </w:pPr>
      <w:r>
        <w:rPr>
          <w:bCs/>
          <w:b/>
        </w:rPr>
        <w:t xml:space="preserve">Non-renewable Electricity Consumption:</w:t>
      </w:r>
      <w:r>
        <w:t xml:space="preserve"> </w:t>
      </w:r>
      <w:r>
        <w:t xml:space="preserve">15 kWh/unit * (1 - 0.60) = 6 kWh/unit</w:t>
      </w:r>
    </w:p>
    <w:p>
      <w:pPr>
        <w:numPr>
          <w:ilvl w:val="0"/>
          <w:numId w:val="1002"/>
        </w:numPr>
        <w:pStyle w:val="Compact"/>
      </w:pPr>
      <w:r>
        <w:rPr>
          <w:bCs/>
          <w:b/>
        </w:rPr>
        <w:t xml:space="preserve">Electricity Emission Factor (China Grid Mix):</w:t>
      </w:r>
      <w:r>
        <w:t xml:space="preserve"> </w:t>
      </w:r>
      <w:r>
        <w:t xml:space="preserve">~0.6 kg CO₂e/kWh</w:t>
      </w:r>
    </w:p>
    <w:bookmarkEnd w:id="25"/>
    <w:bookmarkStart w:id="26" w:name="logistics-data"/>
    <w:p>
      <w:pPr>
        <w:pStyle w:val="Heading3"/>
      </w:pPr>
      <w:r>
        <w:t xml:space="preserve">Logistics Data</w:t>
      </w:r>
    </w:p>
    <w:p>
      <w:pPr>
        <w:numPr>
          <w:ilvl w:val="0"/>
          <w:numId w:val="1003"/>
        </w:numPr>
        <w:pStyle w:val="Compact"/>
      </w:pPr>
      <w:r>
        <w:rPr>
          <w:bCs/>
          <w:b/>
        </w:rPr>
        <w:t xml:space="preserve">Transport Mode (Primary):</w:t>
      </w:r>
      <w:r>
        <w:t xml:space="preserve"> </w:t>
      </w:r>
      <w:r>
        <w:t xml:space="preserve">Select Mode (Sea Freight)</w:t>
      </w:r>
    </w:p>
    <w:p>
      <w:pPr>
        <w:numPr>
          <w:ilvl w:val="0"/>
          <w:numId w:val="1003"/>
        </w:numPr>
        <w:pStyle w:val="Compact"/>
      </w:pPr>
      <w:r>
        <w:rPr>
          <w:bCs/>
          <w:b/>
        </w:rPr>
        <w:t xml:space="preserve">Transport Distance (Primary):</w:t>
      </w:r>
      <w:r>
        <w:t xml:space="preserve"> </w:t>
      </w:r>
      <w:r>
        <w:t xml:space="preserve">ziirfwdkhk (5000 km, China to Europe)</w:t>
      </w:r>
    </w:p>
    <w:p>
      <w:pPr>
        <w:numPr>
          <w:ilvl w:val="0"/>
          <w:numId w:val="1003"/>
        </w:numPr>
        <w:pStyle w:val="Compact"/>
      </w:pPr>
      <w:r>
        <w:rPr>
          <w:bCs/>
          <w:b/>
        </w:rPr>
        <w:t xml:space="preserve">Transport Mode (Secondary):</w:t>
      </w:r>
      <w:r>
        <w:t xml:space="preserve"> </w:t>
      </w:r>
      <w:r>
        <w:t xml:space="preserve">Road Freight (within Europe)</w:t>
      </w:r>
    </w:p>
    <w:p>
      <w:pPr>
        <w:numPr>
          <w:ilvl w:val="0"/>
          <w:numId w:val="1003"/>
        </w:numPr>
        <w:pStyle w:val="Compact"/>
      </w:pPr>
      <w:r>
        <w:rPr>
          <w:bCs/>
          <w:b/>
        </w:rPr>
        <w:t xml:space="preserve">Transport Distance (Secondary):</w:t>
      </w:r>
      <w:r>
        <w:t xml:space="preserve"> </w:t>
      </w:r>
      <w:r>
        <w:t xml:space="preserve">200 km (within Europe)</w:t>
      </w:r>
    </w:p>
    <w:p>
      <w:pPr>
        <w:numPr>
          <w:ilvl w:val="0"/>
          <w:numId w:val="1003"/>
        </w:numPr>
        <w:pStyle w:val="Compact"/>
      </w:pPr>
      <w:r>
        <w:rPr>
          <w:bCs/>
          <w:b/>
        </w:rPr>
        <w:t xml:space="preserve">Last-Mile Delivery Channel:</w:t>
      </w:r>
      <w:r>
        <w:t xml:space="preserve"> </w:t>
      </w:r>
      <w:r>
        <w:t xml:space="preserve">Delivery Type (Electric Van)</w:t>
      </w:r>
    </w:p>
    <w:p>
      <w:pPr>
        <w:numPr>
          <w:ilvl w:val="0"/>
          <w:numId w:val="1003"/>
        </w:numPr>
        <w:pStyle w:val="Compact"/>
      </w:pPr>
      <w:r>
        <w:rPr>
          <w:bCs/>
          <w:b/>
        </w:rPr>
        <w:t xml:space="preserve">Last-Mile Delivery Distance (Assumed):</w:t>
      </w:r>
      <w:r>
        <w:t xml:space="preserve"> </w:t>
      </w:r>
      <w:r>
        <w:t xml:space="preserve">50 km</w:t>
      </w:r>
    </w:p>
    <w:p>
      <w:pPr>
        <w:numPr>
          <w:ilvl w:val="0"/>
          <w:numId w:val="1003"/>
        </w:numPr>
        <w:pStyle w:val="Compact"/>
      </w:pPr>
      <w:r>
        <w:rPr>
          <w:bCs/>
          <w:b/>
        </w:rPr>
        <w:t xml:space="preserve">Product Weight for Transport:</w:t>
      </w:r>
      <w:r>
        <w:t xml:space="preserve"> </w:t>
      </w:r>
      <w:r>
        <w:t xml:space="preserve">0.45 kg (0.00045 tonnes)</w:t>
      </w:r>
    </w:p>
    <w:p>
      <w:pPr>
        <w:numPr>
          <w:ilvl w:val="0"/>
          <w:numId w:val="1003"/>
        </w:numPr>
        <w:pStyle w:val="Compact"/>
      </w:pPr>
      <w:r>
        <w:rPr>
          <w:bCs/>
          <w:b/>
        </w:rPr>
        <w:t xml:space="preserve">Emission Factor (Sea Freight):</w:t>
      </w:r>
      <w:r>
        <w:t xml:space="preserve"> </w:t>
      </w:r>
      <w:r>
        <w:t xml:space="preserve">0.016 kg CO₂e/tkm</w:t>
      </w:r>
    </w:p>
    <w:p>
      <w:pPr>
        <w:numPr>
          <w:ilvl w:val="0"/>
          <w:numId w:val="1003"/>
        </w:numPr>
        <w:pStyle w:val="Compact"/>
      </w:pPr>
      <w:r>
        <w:rPr>
          <w:bCs/>
          <w:b/>
        </w:rPr>
        <w:t xml:space="preserve">Emission Factor (Road Freight):</w:t>
      </w:r>
      <w:r>
        <w:t xml:space="preserve"> </w:t>
      </w:r>
      <w:r>
        <w:t xml:space="preserve">0.07 kg CO₂e/tkm</w:t>
      </w:r>
    </w:p>
    <w:p>
      <w:pPr>
        <w:numPr>
          <w:ilvl w:val="0"/>
          <w:numId w:val="1003"/>
        </w:numPr>
        <w:pStyle w:val="Compact"/>
      </w:pPr>
      <w:r>
        <w:rPr>
          <w:bCs/>
          <w:b/>
        </w:rPr>
        <w:t xml:space="preserve">Emission Factor (Electric Van):</w:t>
      </w:r>
      <w:r>
        <w:t xml:space="preserve"> </w:t>
      </w:r>
      <w:r>
        <w:t xml:space="preserve">0.20 kg CO₂e/tkm (illustrative, reflecting electric van in Europe, with upstream electricity)</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sudpxrddnm (5 years)</w:t>
      </w:r>
    </w:p>
    <w:p>
      <w:pPr>
        <w:numPr>
          <w:ilvl w:val="0"/>
          <w:numId w:val="1004"/>
        </w:numPr>
        <w:pStyle w:val="Compact"/>
      </w:pPr>
      <w:r>
        <w:rPr>
          <w:bCs/>
          <w:b/>
        </w:rPr>
        <w:t xml:space="preserve">Energy Consumption in Use:</w:t>
      </w:r>
      <w:r>
        <w:t xml:space="preserve"> </w:t>
      </w:r>
      <w:r>
        <w:t xml:space="preserve">hsosxouviy (5 kWh/year)</w:t>
      </w:r>
    </w:p>
    <w:p>
      <w:pPr>
        <w:numPr>
          <w:ilvl w:val="0"/>
          <w:numId w:val="1004"/>
        </w:numPr>
        <w:pStyle w:val="Compact"/>
      </w:pPr>
      <w:r>
        <w:rPr>
          <w:bCs/>
          <w:b/>
        </w:rPr>
        <w:t xml:space="preserve">Electricity Emission Factor (European Average):</w:t>
      </w:r>
      <w:r>
        <w:t xml:space="preserve"> </w:t>
      </w:r>
      <w:r>
        <w:t xml:space="preserve">~0.181 kg CO₂e/kWh</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zfdlykokmv (70%)</w:t>
      </w:r>
    </w:p>
    <w:p>
      <w:pPr>
        <w:numPr>
          <w:ilvl w:val="0"/>
          <w:numId w:val="1005"/>
        </w:numPr>
        <w:pStyle w:val="Compact"/>
      </w:pPr>
      <w:r>
        <w:rPr>
          <w:bCs/>
          <w:b/>
        </w:rPr>
        <w:t xml:space="preserve">Circular/Take-back Programs:</w:t>
      </w:r>
      <w:r>
        <w:t xml:space="preserve"> </w:t>
      </w:r>
      <w:r>
        <w:t xml:space="preserve">zehfqoyfkz (Yes, established partnership)</w:t>
      </w:r>
    </w:p>
    <w:p>
      <w:pPr>
        <w:numPr>
          <w:ilvl w:val="0"/>
          <w:numId w:val="1005"/>
        </w:numPr>
        <w:pStyle w:val="Compact"/>
      </w:pPr>
      <w:r>
        <w:rPr>
          <w:bCs/>
          <w:b/>
        </w:rPr>
        <w:t xml:space="preserve">Emission Factor (Landfill for non-recycled portion):</w:t>
      </w:r>
      <w:r>
        <w:t xml:space="preserve"> </w:t>
      </w:r>
      <w:r>
        <w:t xml:space="preserve">0.5 kg CO₂e/kg</w:t>
      </w:r>
    </w:p>
    <w:p>
      <w:pPr>
        <w:numPr>
          <w:ilvl w:val="0"/>
          <w:numId w:val="1005"/>
        </w:numPr>
        <w:pStyle w:val="Compact"/>
      </w:pPr>
      <w:r>
        <w:rPr>
          <w:bCs/>
          <w:b/>
        </w:rPr>
        <w:t xml:space="preserve">Recycling Credit (Avoided Emissions):</w:t>
      </w:r>
      <w:r>
        <w:t xml:space="preserve"> </w:t>
      </w:r>
      <w:r>
        <w:t xml:space="preserve">-0.7 kg CO₂e/kg (credit for recycled material replacing virgin material)</w:t>
      </w:r>
    </w:p>
    <w:p>
      <w:r>
        <w:pict>
          <v:rect style="width:0;height:1.5pt" o:hralign="center" o:hrstd="t" o:hr="t"/>
        </w:pict>
      </w:r>
    </w:p>
    <w:bookmarkEnd w:id="28"/>
    <w:bookmarkEnd w:id="29"/>
    <w:bookmarkStart w:id="44" w:name="calculate-emissions"/>
    <w:p>
      <w:pPr>
        <w:pStyle w:val="Heading2"/>
      </w:pPr>
      <w:r>
        <w:t xml:space="preserve">4. Calculate Emissions</w:t>
      </w:r>
    </w:p>
    <w:p>
      <w:pPr>
        <w:pStyle w:val="FirstParagraph"/>
      </w:pPr>
      <w:r>
        <w:t xml:space="preserve">Emissions are calculated for each lifecycle stage, categorized according to the GHG Protocol (Scope 1, 2, and 3). Industry-standard emission factors, primarily sourced from data reflecting Ecoinvent/DEFRA principles, are applied.</w:t>
      </w:r>
    </w:p>
    <w:bookmarkStart w:id="30" w:name="summary-of-emission-factors-used"/>
    <w:p>
      <w:pPr>
        <w:pStyle w:val="Heading3"/>
      </w:pPr>
      <w:r>
        <w:t xml:space="preserve">Summary of Emission Factors Used:</w:t>
      </w:r>
    </w:p>
    <w:p>
      <w:pPr>
        <w:numPr>
          <w:ilvl w:val="0"/>
          <w:numId w:val="1006"/>
        </w:numPr>
        <w:pStyle w:val="Compact"/>
      </w:pPr>
      <w:r>
        <w:rPr>
          <w:bCs/>
          <w:b/>
        </w:rPr>
        <w:t xml:space="preserve">Electricity (China Grid Mix):</w:t>
      </w:r>
      <w:r>
        <w:t xml:space="preserve"> </w:t>
      </w:r>
      <w:r>
        <w:t xml:space="preserve">0.6 kg CO₂e/kWh</w:t>
      </w:r>
    </w:p>
    <w:p>
      <w:pPr>
        <w:numPr>
          <w:ilvl w:val="0"/>
          <w:numId w:val="1006"/>
        </w:numPr>
        <w:pStyle w:val="Compact"/>
      </w:pPr>
      <w:r>
        <w:rPr>
          <w:bCs/>
          <w:b/>
        </w:rPr>
        <w:t xml:space="preserve">Electricity (European Average):</w:t>
      </w:r>
      <w:r>
        <w:t xml:space="preserve"> </w:t>
      </w:r>
      <w:r>
        <w:t xml:space="preserve">0.181 kg CO₂e/kWh</w:t>
      </w:r>
    </w:p>
    <w:p>
      <w:pPr>
        <w:numPr>
          <w:ilvl w:val="0"/>
          <w:numId w:val="1006"/>
        </w:numPr>
        <w:pStyle w:val="Compact"/>
      </w:pPr>
      <w:r>
        <w:rPr>
          <w:bCs/>
          <w:b/>
        </w:rPr>
        <w:t xml:space="preserve">Sea Freight:</w:t>
      </w:r>
      <w:r>
        <w:t xml:space="preserve"> </w:t>
      </w:r>
      <w:r>
        <w:t xml:space="preserve">0.016 kg CO₂e/tkm</w:t>
      </w:r>
    </w:p>
    <w:p>
      <w:pPr>
        <w:numPr>
          <w:ilvl w:val="0"/>
          <w:numId w:val="1006"/>
        </w:numPr>
        <w:pStyle w:val="Compact"/>
      </w:pPr>
      <w:r>
        <w:rPr>
          <w:bCs/>
          <w:b/>
        </w:rPr>
        <w:t xml:space="preserve">Road Freight:</w:t>
      </w:r>
      <w:r>
        <w:t xml:space="preserve"> </w:t>
      </w:r>
      <w:r>
        <w:t xml:space="preserve">0.07 kg CO₂e/tkm</w:t>
      </w:r>
    </w:p>
    <w:p>
      <w:pPr>
        <w:numPr>
          <w:ilvl w:val="0"/>
          <w:numId w:val="1006"/>
        </w:numPr>
        <w:pStyle w:val="Compact"/>
      </w:pPr>
      <w:r>
        <w:rPr>
          <w:bCs/>
          <w:b/>
        </w:rPr>
        <w:t xml:space="preserve">Electric Van:</w:t>
      </w:r>
      <w:r>
        <w:t xml:space="preserve"> </w:t>
      </w:r>
      <w:r>
        <w:t xml:space="preserve">0.20 kg CO₂e/tkm (illustrative for European electric last-mile)</w:t>
      </w:r>
    </w:p>
    <w:p>
      <w:pPr>
        <w:numPr>
          <w:ilvl w:val="0"/>
          <w:numId w:val="1006"/>
        </w:numPr>
        <w:pStyle w:val="Compact"/>
      </w:pPr>
      <w:r>
        <w:rPr>
          <w:bCs/>
          <w:b/>
        </w:rPr>
        <w:t xml:space="preserve">Landfill:</w:t>
      </w:r>
      <w:r>
        <w:t xml:space="preserve"> </w:t>
      </w:r>
      <w:r>
        <w:t xml:space="preserve">0.5 kg CO₂e/kg</w:t>
      </w:r>
    </w:p>
    <w:p>
      <w:pPr>
        <w:numPr>
          <w:ilvl w:val="0"/>
          <w:numId w:val="1006"/>
        </w:numPr>
        <w:pStyle w:val="Compact"/>
      </w:pPr>
      <w:r>
        <w:rPr>
          <w:bCs/>
          <w:b/>
        </w:rPr>
        <w:t xml:space="preserve">Recycling Credit:</w:t>
      </w:r>
      <w:r>
        <w:t xml:space="preserve"> </w:t>
      </w:r>
      <w:r>
        <w:t xml:space="preserve">-0.7 kg CO₂e/kg</w:t>
      </w:r>
    </w:p>
    <w:bookmarkEnd w:id="30"/>
    <w:bookmarkStart w:id="40" w:name="X617dac07fae2bcb601f9b8b8f781ae17f89a93d"/>
    <w:p>
      <w:pPr>
        <w:pStyle w:val="Heading3"/>
      </w:pPr>
      <w:r>
        <w:t xml:space="preserve">GHG Protocol Categorization and Emissions Breakdown:</w:t>
      </w:r>
    </w:p>
    <w:bookmarkStart w:id="31" w:name="scope-1-emissions-direct-emissions"/>
    <w:p>
      <w:pPr>
        <w:pStyle w:val="Heading4"/>
      </w:pPr>
      <w:r>
        <w:t xml:space="preserve">Scope 1 Emissions (Direct Emissions)</w:t>
      </w:r>
    </w:p>
    <w:p>
      <w:pPr>
        <w:pStyle w:val="FirstParagraph"/>
      </w:pPr>
      <w:r>
        <w:t xml:space="preserve">No direct, owned, or controlled combustion sources (e.g., company vehicles, on-site fuel consumption not covered by purchased electricity) were specified for the manufacturing process of \'oyfnxkewjs\' at the factory gate. Therefore, Scope 1 emissions for the product\'s PCF are considered negligible or already embedded in upstream material/energy procurement, unless specific direct process emissions are identified. For this analysis, Scope 1 is reported as 0.00 kg CO₂e.</w:t>
      </w:r>
    </w:p>
    <w:p>
      <w:pPr>
        <w:pStyle w:val="BodyText"/>
      </w:pPr>
      <w:r>
        <w:rPr>
          <w:bCs/>
          <w:b/>
        </w:rPr>
        <w:t xml:space="preserve">Total Scope 1 Emissions: 0.00 kg CO₂e</w:t>
      </w:r>
    </w:p>
    <w:bookmarkEnd w:id="31"/>
    <w:bookmarkStart w:id="32"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process in China.</w:t>
      </w:r>
    </w:p>
    <w:p>
      <w:pPr>
        <w:numPr>
          <w:ilvl w:val="0"/>
          <w:numId w:val="1007"/>
        </w:numPr>
        <w:pStyle w:val="Compact"/>
      </w:pPr>
      <w:r>
        <w:rPr>
          <w:bCs/>
          <w:b/>
        </w:rPr>
        <w:t xml:space="preserve">Non-renewable Electricity Consumption:</w:t>
      </w:r>
      <w:r>
        <w:t xml:space="preserve"> </w:t>
      </w:r>
      <w:r>
        <w:t xml:space="preserve">15 kWh/unit * (1 - 0.60 renewable usage) = 6 kWh/unit</w:t>
      </w:r>
    </w:p>
    <w:p>
      <w:pPr>
        <w:numPr>
          <w:ilvl w:val="0"/>
          <w:numId w:val="1007"/>
        </w:numPr>
        <w:pStyle w:val="Compact"/>
      </w:pPr>
      <w:r>
        <w:rPr>
          <w:bCs/>
          <w:b/>
        </w:rPr>
        <w:t xml:space="preserve">Emissions Calculation:</w:t>
      </w:r>
      <w:r>
        <w:t xml:space="preserve"> </w:t>
      </w:r>
      <w:r>
        <w:t xml:space="preserve">6 kWh/unit * 0.6 kg CO₂e/kWh (China Grid Mix) = 3.60 kg CO₂e</w:t>
      </w:r>
    </w:p>
    <w:p>
      <w:pPr>
        <w:pStyle w:val="FirstParagraph"/>
      </w:pPr>
      <w:r>
        <w:rPr>
          <w:bCs/>
          <w:b/>
        </w:rPr>
        <w:t xml:space="preserve">Total Scope 2 Emissions: 3.60 kg CO₂e</w:t>
      </w:r>
    </w:p>
    <w:bookmarkEnd w:id="32"/>
    <w:bookmarkStart w:id="39" w:name="scope-3-emissions-value-chain-emissions"/>
    <w:p>
      <w:pPr>
        <w:pStyle w:val="Heading4"/>
      </w:pPr>
      <w:r>
        <w:t xml:space="preserve">Scope 3 Emissions (Value Chain Emissions)</w:t>
      </w:r>
    </w:p>
    <w:p>
      <w:pPr>
        <w:pStyle w:val="FirstParagraph"/>
      </w:pPr>
      <w:r>
        <w:t xml:space="preserve">Scope 3 emissions encompass all other indirect emissions occurring upstream and downstream in the value chain. This analysis aims for at least 95% coverage for Scope 3 reporting, as per the</w:t>
      </w:r>
      <w:r>
        <w:t xml:space="preserve"> </w:t>
      </w:r>
      <w:hyperlink r:id="rId33">
        <w:r>
          <w:rPr>
            <w:rStyle w:val="Hyperlink"/>
          </w:rPr>
          <w:t xml:space="preserve">2026 GHG Protocol requirements</w:t>
        </w:r>
      </w:hyperlink>
      <w:r>
        <w:t xml:space="preserve">.</w:t>
      </w:r>
    </w:p>
    <w:bookmarkStart w:id="34" w:name="Xab9729a0caae076ca89f2f71668734f92723cf2"/>
    <w:p>
      <w:pPr>
        <w:pStyle w:val="Heading5"/>
      </w:pPr>
      <w:r>
        <w:t xml:space="preserve">Category 1: Purchased Goods and Services (Materials)</w:t>
      </w:r>
    </w:p>
    <w:p>
      <w:pPr>
        <w:pStyle w:val="FirstParagraph"/>
      </w:pPr>
      <w:r>
        <w:t xml:space="preserve">Emissions from the extraction, production, and transportation of raw materials and components for \'oyfnxkewjs\' are directly taken from the \'Total Carbon\' values provided in the Detailed Bill of Materials (uuvlyqjq).</w:t>
      </w:r>
    </w:p>
    <w:p>
      <w:pPr>
        <w:numPr>
          <w:ilvl w:val="0"/>
          <w:numId w:val="1008"/>
        </w:numPr>
        <w:pStyle w:val="Compact"/>
      </w:pPr>
      <w:r>
        <w:rPr>
          <w:bCs/>
          <w:b/>
        </w:rPr>
        <w:t xml:space="preserve">Emissions from Materials:</w:t>
      </w:r>
      <w:r>
        <w:t xml:space="preserve"> </w:t>
      </w:r>
      <w:r>
        <w:t xml:space="preserve">3.06 kg CO₂e</w:t>
      </w:r>
    </w:p>
    <w:bookmarkEnd w:id="34"/>
    <w:bookmarkStart w:id="35" w:name="X6669a43143349c25ec93e775eebde43de53a73c"/>
    <w:p>
      <w:pPr>
        <w:pStyle w:val="Heading5"/>
      </w:pPr>
      <w:r>
        <w:t xml:space="preserve">Category 4: Upstream Transportation and Distribution</w:t>
      </w:r>
    </w:p>
    <w:p>
      <w:pPr>
        <w:pStyle w:val="FirstParagraph"/>
      </w:pPr>
      <w:r>
        <w:t xml:space="preserve">Emissions from the transportation of raw materials and components from suppliers to the production facility.</w:t>
      </w:r>
    </w:p>
    <w:p>
      <w:pPr>
        <w:numPr>
          <w:ilvl w:val="0"/>
          <w:numId w:val="1009"/>
        </w:numPr>
        <w:pStyle w:val="Compact"/>
      </w:pPr>
      <w:r>
        <w:rPr>
          <w:bCs/>
          <w:b/>
        </w:rPr>
        <w:t xml:space="preserve">Sea Freight (5000 km):</w:t>
      </w:r>
      <w:r>
        <w:t xml:space="preserve"> </w:t>
      </w:r>
      <w:r>
        <w:t xml:space="preserve">(0.45 kg / 1000 kg/tonne) * 5000 km * 0.016 kg CO₂e/tkm = 0.036 kg CO₂e</w:t>
      </w:r>
    </w:p>
    <w:p>
      <w:pPr>
        <w:numPr>
          <w:ilvl w:val="0"/>
          <w:numId w:val="1009"/>
        </w:numPr>
        <w:pStyle w:val="Compact"/>
      </w:pPr>
      <w:r>
        <w:rPr>
          <w:bCs/>
          <w:b/>
        </w:rPr>
        <w:t xml:space="preserve">Road Freight (200 km, within Europe for components/distribution to factory):</w:t>
      </w:r>
      <w:r>
        <w:t xml:space="preserve"> </w:t>
      </w:r>
      <w:r>
        <w:t xml:space="preserve">(0.45 kg / 1000 kg/tonne) * 200 km * 0.07 kg CO₂e/tkm = 0.006 kg CO₂e</w:t>
      </w:r>
    </w:p>
    <w:p>
      <w:pPr>
        <w:numPr>
          <w:ilvl w:val="0"/>
          <w:numId w:val="1009"/>
        </w:numPr>
        <w:pStyle w:val="Compact"/>
      </w:pPr>
      <w:r>
        <w:rPr>
          <w:bCs/>
          <w:b/>
        </w:rPr>
        <w:t xml:space="preserve">Total Upstream Transportation:</w:t>
      </w:r>
      <w:r>
        <w:t xml:space="preserve"> </w:t>
      </w:r>
      <w:r>
        <w:t xml:space="preserve">0.036 kg CO₂e + 0.006 kg CO₂e = 0.042 kg CO₂e</w:t>
      </w:r>
    </w:p>
    <w:bookmarkEnd w:id="35"/>
    <w:bookmarkStart w:id="36" w:name="Xe6a609cc71639c4bb5b5bcd247c776c9d89fa33"/>
    <w:p>
      <w:pPr>
        <w:pStyle w:val="Heading5"/>
      </w:pPr>
      <w:r>
        <w:t xml:space="preserve">Category 9: Downstream Transportation and Distribution (Last-Mile Delivery)</w:t>
      </w:r>
    </w:p>
    <w:p>
      <w:pPr>
        <w:pStyle w:val="FirstParagraph"/>
      </w:pPr>
      <w:r>
        <w:t xml:space="preserve">Emissions from the last-mile delivery of the finished product to the end-consumer.</w:t>
      </w:r>
    </w:p>
    <w:p>
      <w:pPr>
        <w:numPr>
          <w:ilvl w:val="0"/>
          <w:numId w:val="1010"/>
        </w:numPr>
        <w:pStyle w:val="Compact"/>
      </w:pPr>
      <w:r>
        <w:rPr>
          <w:bCs/>
          <w:b/>
        </w:rPr>
        <w:t xml:space="preserve">Electric Van (50 km assumed distance):</w:t>
      </w:r>
      <w:r>
        <w:t xml:space="preserve"> </w:t>
      </w:r>
      <w:r>
        <w:t xml:space="preserve">(0.45 kg / 1000 kg/tonne) * 50 km * 0.20 kg CO₂e/tkm = 0.005 kg CO₂e</w:t>
      </w:r>
    </w:p>
    <w:bookmarkEnd w:id="36"/>
    <w:bookmarkStart w:id="37" w:name="category-11-use-of-sold-products"/>
    <w:p>
      <w:pPr>
        <w:pStyle w:val="Heading5"/>
      </w:pPr>
      <w:r>
        <w:t xml:space="preserve">Category 11: Use of Sold Products</w:t>
      </w:r>
    </w:p>
    <w:p>
      <w:pPr>
        <w:pStyle w:val="FirstParagraph"/>
      </w:pPr>
      <w:r>
        <w:t xml:space="preserve">Emissions from the energy consumption of \'oyfnxkewjs\' during its operational lifespan. The calculation assumes usage in a European context due to the "Supply Chain Focus: Europe Focused" parameter. The 2026 GHG Protocol Scope 3 update is considering a shift towards annualized emissions for this category to reward product durability.</w:t>
      </w:r>
    </w:p>
    <w:p>
      <w:pPr>
        <w:numPr>
          <w:ilvl w:val="0"/>
          <w:numId w:val="1011"/>
        </w:numPr>
        <w:pStyle w:val="Compact"/>
      </w:pPr>
      <w:r>
        <w:rPr>
          <w:bCs/>
          <w:b/>
        </w:rPr>
        <w:t xml:space="preserve">Total Energy Consumption in Use:</w:t>
      </w:r>
      <w:r>
        <w:t xml:space="preserve"> </w:t>
      </w:r>
      <w:r>
        <w:t xml:space="preserve">5 kWh/year * 5 years = 25 kWh</w:t>
      </w:r>
    </w:p>
    <w:p>
      <w:pPr>
        <w:numPr>
          <w:ilvl w:val="0"/>
          <w:numId w:val="1011"/>
        </w:numPr>
        <w:pStyle w:val="Compact"/>
      </w:pPr>
      <w:r>
        <w:rPr>
          <w:bCs/>
          <w:b/>
        </w:rPr>
        <w:t xml:space="preserve">Emissions Calculation:</w:t>
      </w:r>
      <w:r>
        <w:t xml:space="preserve"> </w:t>
      </w:r>
      <w:r>
        <w:t xml:space="preserve">25 kWh * 0.181 kg CO₂e/kWh (European Average Grid Mix) = 4.525 kg CO₂e</w:t>
      </w:r>
    </w:p>
    <w:bookmarkEnd w:id="37"/>
    <w:bookmarkStart w:id="38" w:name="X9f66eef2700632e081dfe139021cb724ffcd2c5"/>
    <w:p>
      <w:pPr>
        <w:pStyle w:val="Heading5"/>
      </w:pPr>
      <w:r>
        <w:t xml:space="preserve">Category 12: End-of-Life Treatment of Sold Products</w:t>
      </w:r>
    </w:p>
    <w:p>
      <w:pPr>
        <w:pStyle w:val="FirstParagraph"/>
      </w:pPr>
      <w:r>
        <w:t xml:space="preserve">Emissions and credits associated with the disposal and recycling of \'oyfnxkewjs\' at the end of its lifespan. The presence of \'Circular/Take-back Programs\' and a high \'Recyclability Percentage\' are accounted for. This calculation incorporates circular economy impacts by crediting avoided emissions from recycling.</w:t>
      </w:r>
    </w:p>
    <w:p>
      <w:pPr>
        <w:numPr>
          <w:ilvl w:val="0"/>
          <w:numId w:val="1012"/>
        </w:numPr>
        <w:pStyle w:val="Compact"/>
      </w:pPr>
      <w:r>
        <w:rPr>
          <w:bCs/>
          <w:b/>
        </w:rPr>
        <w:t xml:space="preserve">Non-recycled portion (30% to Landfill):</w:t>
      </w:r>
      <w:r>
        <w:t xml:space="preserve"> </w:t>
      </w:r>
      <w:r>
        <w:t xml:space="preserve">0.45 kg * 0.30 * 0.5 kg CO₂e/kg = 0.0675 kg CO₂e</w:t>
      </w:r>
    </w:p>
    <w:p>
      <w:pPr>
        <w:numPr>
          <w:ilvl w:val="0"/>
          <w:numId w:val="1012"/>
        </w:numPr>
        <w:pStyle w:val="Compact"/>
      </w:pPr>
      <w:r>
        <w:rPr>
          <w:bCs/>
          <w:b/>
        </w:rPr>
        <w:t xml:space="preserve">Recycled portion (70% with avoided emissions):</w:t>
      </w:r>
      <w:r>
        <w:t xml:space="preserve"> </w:t>
      </w:r>
      <w:r>
        <w:t xml:space="preserve">0.45 kg * 0.70 * (-0.7 kg CO₂e/kg) = -0.2205 kg CO₂e</w:t>
      </w:r>
    </w:p>
    <w:p>
      <w:pPr>
        <w:numPr>
          <w:ilvl w:val="0"/>
          <w:numId w:val="1012"/>
        </w:numPr>
        <w:pStyle w:val="Compact"/>
      </w:pPr>
      <w:r>
        <w:rPr>
          <w:bCs/>
          <w:b/>
        </w:rPr>
        <w:t xml:space="preserve">Net End-of-Life Emissions:</w:t>
      </w:r>
      <w:r>
        <w:t xml:space="preserve"> </w:t>
      </w:r>
      <w:r>
        <w:t xml:space="preserve">0.0675 kg CO₂e - 0.2205 kg CO₂e = -0.153 kg CO₂e</w:t>
      </w:r>
    </w:p>
    <w:p>
      <w:pPr>
        <w:pStyle w:val="FirstParagraph"/>
      </w:pPr>
      <w:r>
        <w:t xml:space="preserve">The negative value indicates a net carbon benefit at the end-of-life stage due to the high recyclability of \'oyfnxkewjs\' and the associated avoided emissions from recycling, reflecting its circular economy design.</w:t>
      </w:r>
    </w:p>
    <w:p>
      <w:pPr>
        <w:pStyle w:val="BodyText"/>
      </w:pPr>
      <w:r>
        <w:rPr>
          <w:bCs/>
          <w:b/>
        </w:rPr>
        <w:t xml:space="preserve">Total Scope 3 Emissions:</w:t>
      </w:r>
      <w:r>
        <w:t xml:space="preserve"> </w:t>
      </w:r>
      <w:r>
        <w:t xml:space="preserve">3.06 (Materials) + 0.042 (Upstream Transport) + 0.005 (Last-Mile) + 4.525 (Use Phase) + (-0.153) (End-of-Life) =</w:t>
      </w:r>
      <w:r>
        <w:t xml:space="preserve"> </w:t>
      </w:r>
      <w:r>
        <w:rPr>
          <w:bCs/>
          <w:b/>
        </w:rPr>
        <w:t xml:space="preserve">7.48 kg CO₂e</w:t>
      </w:r>
    </w:p>
    <w:bookmarkEnd w:id="38"/>
    <w:bookmarkEnd w:id="39"/>
    <w:bookmarkEnd w:id="40"/>
    <w:bookmarkStart w:id="42" w:name="X26dc868bf40fb7d326c86b18d840f7ef38a3c05"/>
    <w:p>
      <w:pPr>
        <w:pStyle w:val="Heading3"/>
      </w:pPr>
      <w:r>
        <w:t xml:space="preserve">Application of 2026 Land Sector and Removals (LSR) Standard Update</w:t>
      </w:r>
    </w:p>
    <w:p>
      <w:pPr>
        <w:pStyle w:val="FirstParagraph"/>
      </w:pPr>
      <w:r>
        <w:t xml:space="preserve">The</w:t>
      </w:r>
      <w:r>
        <w:t xml:space="preserve"> </w:t>
      </w:r>
      <w:hyperlink r:id="rId41">
        <w:r>
          <w:rPr>
            <w:rStyle w:val="Hyperlink"/>
          </w:rPr>
          <w:t xml:space="preserve">GHG Protocol Land Sector and Removals (LSR) Standard</w:t>
        </w:r>
      </w:hyperlink>
      <w:r>
        <w:t xml:space="preserve">, effective January 1, 2027, provides requirements and guidance for quantifying, reporting, and tracking land emissions, CO₂ removals, and biogenic products. While specific land-use change data for the raw material acquisition of \'oyfnxkewjs\' was not provided, yymnoxvhup acknowledges the importance of this standard for components derived from agricultural or forestry practices. Future iterations of this PCF analysis will aim to integrate more granular data on land use and any associated carbon removals/emissions for relevant upstream materials to fully align with the LSR Standard\'s requirements. For this report, the focus remains on industrial and energy emissions.</w:t>
      </w:r>
    </w:p>
    <w:bookmarkEnd w:id="42"/>
    <w:bookmarkStart w:id="43" w:name="total-product-carbon-footprint-pcf"/>
    <w:p>
      <w:pPr>
        <w:pStyle w:val="Heading3"/>
      </w:pPr>
      <w:r>
        <w:t xml:space="preserve">Total Product Carbon Footprint (PCF)</w:t>
      </w:r>
    </w:p>
    <w:p>
      <w:pPr>
        <w:pStyle w:val="FirstParagraph"/>
      </w:pPr>
      <w:r>
        <w:t xml:space="preserve">The total PCF for one functional unit of \'oyfnxkewjs\' is the sum of Scope 1, Scope 2, and Scope 3 emissions:</w:t>
      </w:r>
    </w:p>
    <w:p>
      <w:pPr>
        <w:numPr>
          <w:ilvl w:val="0"/>
          <w:numId w:val="1013"/>
        </w:numPr>
        <w:pStyle w:val="Compact"/>
      </w:pPr>
      <w:r>
        <w:rPr>
          <w:bCs/>
          <w:b/>
        </w:rPr>
        <w:t xml:space="preserve">Scope 1:</w:t>
      </w:r>
      <w:r>
        <w:t xml:space="preserve"> </w:t>
      </w:r>
      <w:r>
        <w:t xml:space="preserve">0.00 kg CO₂e</w:t>
      </w:r>
    </w:p>
    <w:p>
      <w:pPr>
        <w:numPr>
          <w:ilvl w:val="0"/>
          <w:numId w:val="1013"/>
        </w:numPr>
        <w:pStyle w:val="Compact"/>
      </w:pPr>
      <w:r>
        <w:rPr>
          <w:bCs/>
          <w:b/>
        </w:rPr>
        <w:t xml:space="preserve">Scope 2:</w:t>
      </w:r>
      <w:r>
        <w:t xml:space="preserve"> </w:t>
      </w:r>
      <w:r>
        <w:t xml:space="preserve">3.60 kg CO₂e</w:t>
      </w:r>
    </w:p>
    <w:p>
      <w:pPr>
        <w:numPr>
          <w:ilvl w:val="0"/>
          <w:numId w:val="1013"/>
        </w:numPr>
        <w:pStyle w:val="Compact"/>
      </w:pPr>
      <w:r>
        <w:rPr>
          <w:bCs/>
          <w:b/>
        </w:rPr>
        <w:t xml:space="preserve">Scope 3:</w:t>
      </w:r>
      <w:r>
        <w:t xml:space="preserve"> </w:t>
      </w:r>
      <w:r>
        <w:t xml:space="preserve">7.48 kg CO₂e</w:t>
      </w:r>
    </w:p>
    <w:p>
      <w:pPr>
        <w:pStyle w:val="FirstParagraph"/>
      </w:pPr>
      <w:r>
        <w:rPr>
          <w:bCs/>
          <w:b/>
        </w:rPr>
        <w:t xml:space="preserve">Total PCF (oyfnxkewjs): 11.08 kg CO₂e</w:t>
      </w:r>
    </w:p>
    <w:p>
      <w:r>
        <w:pict>
          <v:rect style="width:0;height:1.5pt" o:hralign="center" o:hrstd="t" o:hr="t"/>
        </w:pict>
      </w:r>
    </w:p>
    <w:bookmarkEnd w:id="43"/>
    <w:bookmarkEnd w:id="44"/>
    <w:bookmarkStart w:id="49" w:name="review-report"/>
    <w:p>
      <w:pPr>
        <w:pStyle w:val="Heading2"/>
      </w:pPr>
      <w:r>
        <w:t xml:space="preserve">5. Review &amp; Report</w:t>
      </w:r>
    </w:p>
    <w:bookmarkStart w:id="45" w:name="carbon-hotspots-identification"/>
    <w:p>
      <w:pPr>
        <w:pStyle w:val="Heading3"/>
      </w:pPr>
      <w:r>
        <w:t xml:space="preserve">Carbon Hotspots Identification</w:t>
      </w:r>
    </w:p>
    <w:p>
      <w:pPr>
        <w:pStyle w:val="FirstParagraph"/>
      </w:pPr>
      <w:r>
        <w:t xml:space="preserve">Based on the calculations, the main carbon hotspots for \'oyfnxkewjs\' are:</w:t>
      </w:r>
    </w:p>
    <w:p>
      <w:pPr>
        <w:numPr>
          <w:ilvl w:val="0"/>
          <w:numId w:val="1014"/>
        </w:numPr>
        <w:pStyle w:val="Compact"/>
      </w:pPr>
      <w:r>
        <w:rPr>
          <w:bCs/>
          <w:b/>
        </w:rPr>
        <w:t xml:space="preserve">Use Phase (4.525 kg CO₂e):</w:t>
      </w:r>
      <w:r>
        <w:t xml:space="preserve"> </w:t>
      </w:r>
      <w:r>
        <w:t xml:space="preserve">The electricity consumption during the 5-year lifespan of the product represents the largest portion of its carbon footprint. This highlights the importance of energy-efficient design and promoting renewable energy usage by consumers.</w:t>
      </w:r>
    </w:p>
    <w:p>
      <w:pPr>
        <w:numPr>
          <w:ilvl w:val="0"/>
          <w:numId w:val="1014"/>
        </w:numPr>
        <w:pStyle w:val="Compact"/>
      </w:pPr>
      <w:r>
        <w:rPr>
          <w:bCs/>
          <w:b/>
        </w:rPr>
        <w:t xml:space="preserve">Production Energy (3.60 kg CO₂e):</w:t>
      </w:r>
      <w:r>
        <w:t xml:space="preserve"> </w:t>
      </w:r>
      <w:r>
        <w:t xml:space="preserve">The purchased electricity for manufacturing, even with 60% renewable energy usage, is a significant contributor due to the electricity grid mix in China. Increasing renewable energy sourcing for production is crucial.</w:t>
      </w:r>
    </w:p>
    <w:p>
      <w:pPr>
        <w:numPr>
          <w:ilvl w:val="0"/>
          <w:numId w:val="1014"/>
        </w:numPr>
        <w:pStyle w:val="Compact"/>
      </w:pPr>
      <w:r>
        <w:rPr>
          <w:bCs/>
          <w:b/>
        </w:rPr>
        <w:t xml:space="preserve">Materials (3.06 kg CO₂e):</w:t>
      </w:r>
      <w:r>
        <w:t xml:space="preserve"> </w:t>
      </w:r>
      <w:r>
        <w:t xml:space="preserve">The raw materials, particularly Aluminum and Circuit Board components, contribute substantially to the upstream emissions. Opportunities for reduction lie in material optimization, lightweighting, and sourcing lower-carbon alternatives.</w:t>
      </w:r>
    </w:p>
    <w:bookmarkEnd w:id="45"/>
    <w:bookmarkStart w:id="46" w:name="reliability-and-limitations"/>
    <w:p>
      <w:pPr>
        <w:pStyle w:val="Heading3"/>
      </w:pPr>
      <w:r>
        <w:t xml:space="preserve">Reliability and Limitations</w:t>
      </w:r>
    </w:p>
    <w:p>
      <w:pPr>
        <w:pStyle w:val="FirstParagraph"/>
      </w:pPr>
      <w:r>
        <w:t xml:space="preserve">The reliability of this PCF analysis is contingent upon the accuracy and completeness of the provided data and the emission factors used.</w:t>
      </w:r>
    </w:p>
    <w:p>
      <w:pPr>
        <w:numPr>
          <w:ilvl w:val="0"/>
          <w:numId w:val="1015"/>
        </w:numPr>
        <w:pStyle w:val="Compact"/>
      </w:pPr>
      <w:r>
        <w:rPr>
          <w:bCs/>
          <w:b/>
        </w:rPr>
        <w:t xml:space="preserve">Data Quality:</w:t>
      </w:r>
      <w:r>
        <w:t xml:space="preserve"> </w:t>
      </w:r>
      <w:r>
        <w:t xml:space="preserve">The Detailed Bill of Materials (uuvlyqjq) provided specific \'Total Carbon\' values, which were used directly. For other parameters (e.g., transport distances, energy consumption), illustrative yet realistic values were generated where specific figures were not provided with the placeholders.</w:t>
      </w:r>
    </w:p>
    <w:p>
      <w:pPr>
        <w:numPr>
          <w:ilvl w:val="0"/>
          <w:numId w:val="1015"/>
        </w:numPr>
        <w:pStyle w:val="Compact"/>
      </w:pPr>
      <w:r>
        <w:rPr>
          <w:bCs/>
          <w:b/>
        </w:rPr>
        <w:t xml:space="preserve">Emission Factors:</w:t>
      </w:r>
      <w:r>
        <w:t xml:space="preserve"> </w:t>
      </w:r>
      <w:r>
        <w:t xml:space="preserve">Generic, representative industry-standard emission factors based on widely recognized databases (e.g., Ecoinvent, DEFRA principles) were utilized. Specific supplier-specific emission factors for all materials and processes would enhance accuracy.</w:t>
      </w:r>
    </w:p>
    <w:p>
      <w:pPr>
        <w:numPr>
          <w:ilvl w:val="0"/>
          <w:numId w:val="1015"/>
        </w:numPr>
        <w:pStyle w:val="Compact"/>
      </w:pPr>
      <w:r>
        <w:rPr>
          <w:bCs/>
          <w:b/>
        </w:rPr>
        <w:t xml:space="preserve">System Boundary:</w:t>
      </w:r>
      <w:r>
        <w:t xml:space="preserve"> </w:t>
      </w:r>
      <w:r>
        <w:t xml:space="preserve">While the system boundary formally begins at \'factory_gate\', the inclusion of upstream material production and transport, and downstream use and end-of-life stages provides a comprehensive cradle-to-grave perspective, aligning with best practices for product-level assessments.</w:t>
      </w:r>
    </w:p>
    <w:p>
      <w:pPr>
        <w:numPr>
          <w:ilvl w:val="0"/>
          <w:numId w:val="1015"/>
        </w:numPr>
        <w:pStyle w:val="Compact"/>
      </w:pPr>
      <w:r>
        <w:rPr>
          <w:bCs/>
          <w:b/>
        </w:rPr>
        <w:t xml:space="preserve">LSR Standard:</w:t>
      </w:r>
      <w:r>
        <w:t xml:space="preserve"> </w:t>
      </w:r>
      <w:r>
        <w:t xml:space="preserve">The lack of specific land-use data for raw material origins prevents a detailed quantitative application of the 2026 LSR Standard in this report, though its principles are acknowledged.</w:t>
      </w:r>
    </w:p>
    <w:p>
      <w:pPr>
        <w:numPr>
          <w:ilvl w:val="0"/>
          <w:numId w:val="1015"/>
        </w:numPr>
        <w:pStyle w:val="Compact"/>
      </w:pPr>
      <w:r>
        <w:rPr>
          <w:bCs/>
          <w:b/>
        </w:rPr>
        <w:t xml:space="preserve">Scope 3 Coverage:</w:t>
      </w:r>
      <w:r>
        <w:t xml:space="preserve"> </w:t>
      </w:r>
      <w:r>
        <w:t xml:space="preserve">This analysis strives for the 95% Scope 3 coverage required by the 2026 GHG Protocol updates by detailing all identifiable major value chain emission sources.</w:t>
      </w:r>
    </w:p>
    <w:bookmarkEnd w:id="46"/>
    <w:bookmarkStart w:id="48" w:name="X788fbff7c021e2a678ac07c45b3966641b0fc80"/>
    <w:p>
      <w:pPr>
        <w:pStyle w:val="Heading3"/>
      </w:pPr>
      <w:r>
        <w:t xml:space="preserve">Recommendations for Carbon Footprint Reduction</w:t>
      </w:r>
    </w:p>
    <w:p>
      <w:pPr>
        <w:numPr>
          <w:ilvl w:val="0"/>
          <w:numId w:val="1016"/>
        </w:numPr>
        <w:pStyle w:val="Compact"/>
      </w:pPr>
      <w:r>
        <w:rPr>
          <w:bCs/>
          <w:b/>
        </w:rPr>
        <w:t xml:space="preserve">Optimize Use Phase:</w:t>
      </w:r>
      <w:r>
        <w:t xml:space="preserve"> </w:t>
      </w:r>
      <w:r>
        <w:t xml:space="preserve">Invest in R&amp;D to enhance the energy efficiency of \'oyfnxkewjs\' during its operational life. Provide users with guidance on energy-saving practices and promote renewable energy options for product use.</w:t>
      </w:r>
    </w:p>
    <w:p>
      <w:pPr>
        <w:numPr>
          <w:ilvl w:val="0"/>
          <w:numId w:val="1016"/>
        </w:numPr>
        <w:pStyle w:val="Compact"/>
      </w:pPr>
      <w:r>
        <w:rPr>
          <w:bCs/>
          <w:b/>
        </w:rPr>
        <w:t xml:space="preserve">Decarbonize Production:</w:t>
      </w:r>
      <w:r>
        <w:t xml:space="preserve"> </w:t>
      </w:r>
      <w:r>
        <w:t xml:space="preserve">Increase the percentage of renewable energy used in the manufacturing facility in China. Explore options for purchasing high-quality renewable energy credits or investing in on-site renewable energy generation.</w:t>
      </w:r>
    </w:p>
    <w:p>
      <w:pPr>
        <w:numPr>
          <w:ilvl w:val="0"/>
          <w:numId w:val="1016"/>
        </w:numPr>
        <w:pStyle w:val="Compact"/>
      </w:pPr>
      <w:r>
        <w:rPr>
          <w:bCs/>
          <w:b/>
        </w:rPr>
        <w:t xml:space="preserve">Material Innovations:</w:t>
      </w:r>
      <w:r>
        <w:t xml:space="preserve"> </w:t>
      </w:r>
      <w:r>
        <w:t xml:space="preserve">Investigate alternative materials with lower inherent carbon footprints, prioritize recycled content, and work with suppliers to reduce emissions in their manufacturing processes. Conduct a deeper dive into the PCB and Aluminum supply chains.</w:t>
      </w:r>
    </w:p>
    <w:p>
      <w:pPr>
        <w:numPr>
          <w:ilvl w:val="0"/>
          <w:numId w:val="1016"/>
        </w:numPr>
        <w:pStyle w:val="Compact"/>
      </w:pPr>
      <w:r>
        <w:rPr>
          <w:bCs/>
          <w:b/>
        </w:rPr>
        <w:t xml:space="preserve">Logistics Optimization:</w:t>
      </w:r>
      <w:r>
        <w:t xml:space="preserve"> </w:t>
      </w:r>
      <w:r>
        <w:t xml:space="preserve">Continuously optimize transportation routes and modes, prioritizing sea and rail over air freight where feasible, and explore electric or biofuel options for road transport.</w:t>
      </w:r>
    </w:p>
    <w:p>
      <w:pPr>
        <w:numPr>
          <w:ilvl w:val="0"/>
          <w:numId w:val="1016"/>
        </w:numPr>
        <w:pStyle w:val="Compact"/>
      </w:pPr>
      <w:r>
        <w:rPr>
          <w:bCs/>
          <w:b/>
        </w:rPr>
        <w:t xml:space="preserve">Enhance Circularity:</w:t>
      </w:r>
      <w:r>
        <w:t xml:space="preserve"> </w:t>
      </w:r>
      <w:r>
        <w:t xml:space="preserve">Leverage the existing circular/take-back programs to maximize product lifespan through repair, refurbishment, and ensuring high-quality recycling pathways for all components. Explore design for disassembly and material recovery.</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ghgprotocol.org/ghg-protocol-scope-3-standard-revisions" TargetMode="External" /><Relationship Type="http://schemas.openxmlformats.org/officeDocument/2006/relationships/hyperlink" Id="rId41" Target="https://ghgprotocol.org/land-sector-and-removals-standard" TargetMode="External" /><Relationship Type="http://schemas.openxmlformats.org/officeDocument/2006/relationships/hyperlink" Id="rId22"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33" Target="https://ghgprotocol.org/ghg-protocol-scope-3-standard-revisions" TargetMode="External" /><Relationship Type="http://schemas.openxmlformats.org/officeDocument/2006/relationships/hyperlink" Id="rId41" Target="https://ghgprotocol.org/land-sector-and-removals-standard" TargetMode="External" /><Relationship Type="http://schemas.openxmlformats.org/officeDocument/2006/relationships/hyperlink" Id="rId22"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oyfnxkewjs</dc:title>
  <dc:creator/>
  <dc:description>Product Carbon Footprint (PCF) analysis report for oyfnxkewjs by Senior Sustainability Consultant tmtxekelid, following GHG Protocol standards.</dc:description>
  <dc:language>en</dc:language>
  <cp:keywords/>
  <dcterms:created xsi:type="dcterms:W3CDTF">2026-05-30T20:08:27Z</dcterms:created>
  <dcterms:modified xsi:type="dcterms:W3CDTF">2026-05-30T20:08:27Z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