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ouhqiodsnu</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For Product:</w:t>
      </w:r>
      <w:r>
        <w:t xml:space="preserve"> </w:t>
      </w:r>
      <w:r>
        <w:rPr>
          <w:bCs/>
          <w:b/>
        </w:rPr>
        <w:t xml:space="preserve">ouhqiodsnu</w:t>
      </w:r>
    </w:p>
    <w:p>
      <w:pPr>
        <w:pStyle w:val="BodyText"/>
      </w:pPr>
      <w:r>
        <w:t xml:space="preserve">Company Name:</w:t>
      </w:r>
      <w:r>
        <w:t xml:space="preserve"> </w:t>
      </w:r>
      <w:r>
        <w:rPr>
          <w:bCs/>
          <w:b/>
        </w:rPr>
        <w:t xml:space="preserve">oiojllwxow</w:t>
      </w:r>
    </w:p>
    <w:p>
      <w:pPr>
        <w:pStyle w:val="BodyText"/>
      </w:pPr>
      <w:r>
        <w:t xml:space="preserve">Accounting Standard:</w:t>
      </w:r>
      <w:r>
        <w:t xml:space="preserve"> </w:t>
      </w:r>
      <w:r>
        <w:rPr>
          <w:bCs/>
          <w:b/>
        </w:rPr>
        <w:t xml:space="preserve">GHG Protocol</w:t>
      </w:r>
    </w:p>
    <w:p>
      <w:pPr>
        <w:pStyle w:val="BodyText"/>
      </w:pPr>
      <w:r>
        <w:t xml:space="preserve">Senior Sustainability Consultant:</w:t>
      </w:r>
      <w:r>
        <w:t xml:space="preserve"> </w:t>
      </w:r>
      <w:r>
        <w:rPr>
          <w:bCs/>
          <w:b/>
        </w:rPr>
        <w:t xml:space="preserve">xpxexxsllr</w:t>
      </w:r>
    </w:p>
    <w:p>
      <w:pPr>
        <w:pStyle w:val="BodyText"/>
      </w:pPr>
      <w:r>
        <w:t xml:space="preserve">This report is generated based on available data and industry standards, providing an estimate of the product\'s carbon footprint.</w:t>
      </w:r>
    </w:p>
    <w:bookmarkEnd w:id="20"/>
    <w:bookmarkStart w:id="21" w:name="Xf2e6ab5be446359d80f42f50d41e46314dfe19d"/>
    <w:p>
      <w:pPr>
        <w:pStyle w:val="Heading1"/>
      </w:pPr>
      <w:r>
        <w:t xml:space="preserve">Product Carbon Footprint (PCF) Analysis Report</w:t>
      </w:r>
    </w:p>
    <w:p>
      <w:pPr>
        <w:pStyle w:val="FirstParagraph"/>
      </w:pPr>
      <w:r>
        <w:rPr>
          <w:bCs/>
          <w:b/>
        </w:rPr>
        <w:t xml:space="preserve">Product:</w:t>
      </w:r>
      <w:r>
        <w:t xml:space="preserve"> </w:t>
      </w:r>
      <w:r>
        <w:t xml:space="preserve">ouhqiodsnu</w:t>
      </w:r>
    </w:p>
    <w:p>
      <w:pPr>
        <w:pStyle w:val="BodyText"/>
      </w:pPr>
      <w:r>
        <w:rPr>
          <w:bCs/>
          <w:b/>
        </w:rPr>
        <w:t xml:space="preserve">Company:</w:t>
      </w:r>
      <w:r>
        <w:t xml:space="preserve"> </w:t>
      </w:r>
      <w:r>
        <w:t xml:space="preserve">oiojllwxow</w:t>
      </w:r>
    </w:p>
    <w:p>
      <w:pPr>
        <w:pStyle w:val="BodyText"/>
      </w:pPr>
      <w:r>
        <w:rPr>
          <w:bCs/>
          <w:b/>
        </w:rPr>
        <w:t xml:space="preserve">Senior Sustainability Consultant:</w:t>
      </w:r>
      <w:r>
        <w:t xml:space="preserve"> </w:t>
      </w:r>
      <w:r>
        <w:t xml:space="preserve">xpxexxsllr</w:t>
      </w:r>
    </w:p>
    <w:p>
      <w:pPr>
        <w:pStyle w:val="BodyText"/>
      </w:pPr>
      <w:r>
        <w:rPr>
          <w:bCs/>
          <w:b/>
        </w:rPr>
        <w:t xml:space="preserve">Generated Date:</w:t>
      </w:r>
      <w:r>
        <w:t xml:space="preserve"> </w:t>
      </w:r>
      <w:r>
        <w:t xml:space="preserve">May 20,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\'ouhqiodsnu\' manufactured by \'oiojllwxow\'. The analysis adheres strictly to the GHG Protocol standards, incorporating the latest 2026 updates, including the Land Sector and Removals (LSR) Standard and the enhanced Scope 3 compliance requirements. The PCF quantifies the total greenhouse gas emissions associated with the product\'s lifecycle, from raw material extraction to end-of-life, expressed in carbon dioxide equivalents (CO2e). This assessment aims to identify emission hotspots, inform sustainability strategies, and support \'oiojllwxow\' in its commitment to environmental stewardship.</w:t>
      </w:r>
    </w:p>
    <w:p>
      <w:r>
        <w:pict>
          <v:rect style="width:0;height:1.5pt" o:hralign="center" o:hrstd="t" o:hr="t"/>
        </w:pict>
      </w:r>
    </w:p>
    <w:bookmarkEnd w:id="22"/>
    <w:bookmarkStart w:id="25" w:name="methodology-and-scope-definition"/>
    <w:p>
      <w:pPr>
        <w:pStyle w:val="Heading2"/>
      </w:pPr>
      <w:r>
        <w:t xml:space="preserve">1. Methodology and Scope Definition</w:t>
      </w:r>
    </w:p>
    <w:p>
      <w:pPr>
        <w:pStyle w:val="FirstParagraph"/>
      </w:pPr>
      <w:r>
        <w:t xml:space="preserve">The Product Carbon Footprint (PCF) analysis for \'ouhqiodsnu\' follows a comprehensive lifecycle assessment approach, structured in five key steps as per GHG Protocol guidelines.</w:t>
      </w:r>
    </w:p>
    <w:bookmarkStart w:id="23" w:name="step-1-define-scope"/>
    <w:p>
      <w:pPr>
        <w:pStyle w:val="Heading3"/>
      </w:pPr>
      <w:r>
        <w:t xml:space="preserve">1.1. Step 1: Define Scope</w:t>
      </w:r>
    </w:p>
    <w:p>
      <w:pPr>
        <w:numPr>
          <w:ilvl w:val="0"/>
          <w:numId w:val="1001"/>
        </w:numPr>
        <w:pStyle w:val="Compact"/>
      </w:pPr>
      <w:r>
        <w:rPr>
          <w:bCs/>
          <w:b/>
        </w:rPr>
        <w:t xml:space="preserve">Functional Unit:</w:t>
      </w:r>
      <w:r>
        <w:t xml:space="preserve"> </w:t>
      </w:r>
      <w:r>
        <w:t xml:space="preserve">The functional unit for this PCF is defined as 1.0 unit of \'ouhqiodsnu\'. This unit provides a reference to which all inputs and outputs are normalized, allowing for consistent comparison and aggregation of environmental impacts.</w:t>
      </w:r>
    </w:p>
    <w:p>
      <w:pPr>
        <w:numPr>
          <w:ilvl w:val="0"/>
          <w:numId w:val="1001"/>
        </w:numPr>
        <w:pStyle w:val="Compact"/>
      </w:pPr>
      <w:r>
        <w:rPr>
          <w:bCs/>
          <w:b/>
        </w:rPr>
        <w:t xml:space="preserve">System Boundary:</w:t>
      </w:r>
      <w:r>
        <w:t xml:space="preserve"> </w:t>
      </w:r>
      <w:r>
        <w:t xml:space="preserve">The system boundary for this analysis is "factory_gate", meaning a cradle-to-gate assessment, which includes raw material acquisition, pre-processing, and manufacturing up to the point the product leaves the factory. However, to provide a holistic view and meet the project parameters, the analysis has been extended to include downstream transportation, the use phase, and end-of-life scenarios. This extended boundary ensures a more complete understanding of the product\'s environmental impact across its entire value chain.</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 (for upstream material sourcing and initial transportation)</w:t>
      </w:r>
    </w:p>
    <w:p>
      <w:pPr>
        <w:numPr>
          <w:ilvl w:val="0"/>
          <w:numId w:val="1001"/>
        </w:numPr>
        <w:pStyle w:val="Compact"/>
      </w:pPr>
      <w:r>
        <w:rPr>
          <w:bCs/>
          <w:b/>
        </w:rPr>
        <w:t xml:space="preserve">Accounting Standard:</w:t>
      </w:r>
      <w:r>
        <w:t xml:space="preserve"> </w:t>
      </w:r>
      <w:r>
        <w:t xml:space="preserve">This PCF analysis is conducted in strict accordance with the Greenhouse Gas Protocol (GHG Protocol). This includes categorizing emissions into Scope 1 (direct emissions), Scope 2 (indirect emissions from purchased energy), and Scope 3 (all other indirect emissions across the value chain).</w:t>
      </w:r>
    </w:p>
    <w:p>
      <w:pPr>
        <w:numPr>
          <w:ilvl w:val="0"/>
          <w:numId w:val="1001"/>
        </w:numPr>
        <w:pStyle w:val="Compact"/>
      </w:pPr>
      <w:r>
        <w:rPr>
          <w:bCs/>
          <w:b/>
        </w:rPr>
        <w:t xml:space="preserve">Allocation:</w:t>
      </w:r>
      <w:r>
        <w:t xml:space="preserve"> </w:t>
      </w:r>
      <w:r>
        <w:t xml:space="preserve">Where multi-functional processes or co-products occur, allocation has been performed based on physical parameters (e.g., mass) or economic value, depending on data availability and relevance to the specific process. For this report, material impacts derived from the BOM are considered specific to the product.</w:t>
      </w:r>
    </w:p>
    <w:bookmarkEnd w:id="23"/>
    <w:bookmarkStart w:id="24" w:name="ghg-protocol-adherence-and-2026-updates"/>
    <w:p>
      <w:pPr>
        <w:pStyle w:val="Heading3"/>
      </w:pPr>
      <w:r>
        <w:t xml:space="preserve">1.2. GHG Protocol Adherence and 2026 Updates</w:t>
      </w:r>
    </w:p>
    <w:p>
      <w:pPr>
        <w:numPr>
          <w:ilvl w:val="0"/>
          <w:numId w:val="1003"/>
        </w:numPr>
        <w:pStyle w:val="Compact"/>
      </w:pPr>
      <w:r>
        <w:rPr>
          <w:bCs/>
          <w:b/>
        </w:rPr>
        <w:t xml:space="preserve">Scope 1, 2, 3 Categorization:</w:t>
      </w:r>
      <w:r>
        <w:t xml:space="preserve"> </w:t>
      </w:r>
      <w:r>
        <w:t xml:space="preserve">Emissions are systematically categorized. Scope 1 encompasses direct emissions from sources owned or controlled by \'oiojllwxow\' during the manufacturing of \'ouhqiodsnu\' (e.g., on-site fuel combustion). Scope 2 covers indirect emissions from purchased electricity consumed at the manufacturing facility. Scope 3 includes all other indirect emissions throughout the value chain, such as purchased goods and services (materials), upstream and downstream transportation, use of sold products, and end-of-life treatment.</w:t>
      </w:r>
    </w:p>
    <w:p>
      <w:pPr>
        <w:numPr>
          <w:ilvl w:val="0"/>
          <w:numId w:val="1003"/>
        </w:numPr>
        <w:pStyle w:val="Compact"/>
      </w:pPr>
      <w:r>
        <w:rPr>
          <w:bCs/>
          <w:b/>
        </w:rPr>
        <w:t xml:space="preserve">2026 LSR Update:</w:t>
      </w:r>
      <w:r>
        <w:t xml:space="preserve"> </w:t>
      </w:r>
      <w:r>
        <w:t xml:space="preserve">The Land Sector and Removals (LSR) Standard, taking effect January 1, 2027, has been considered in this analysis. While specific land-use change data for each material component\'s origin is beyond the scope of this assessment given the provided parameters, the principle of accounting for land-based emissions and CO2 removals is acknowledged. Future iterations of this PCF will integrate more granular data on land occupation and potential carbon leakage, especially for any bio-based components, as further guidance and data become available through the LSR Standard.</w:t>
      </w:r>
    </w:p>
    <w:p>
      <w:pPr>
        <w:numPr>
          <w:ilvl w:val="0"/>
          <w:numId w:val="1003"/>
        </w:numPr>
        <w:pStyle w:val="Compact"/>
      </w:pPr>
      <w:r>
        <w:rPr>
          <w:bCs/>
          <w:b/>
        </w:rPr>
        <w:t xml:space="preserve">Scope 3 Compliance (95% Coverage):</w:t>
      </w:r>
      <w:r>
        <w:t xml:space="preserve"> </w:t>
      </w:r>
      <w:r>
        <w:t xml:space="preserve">As per the 2026 requirements, this report ensures at least 95% coverage for Scope 3 emissions. This is achieved by comprehensively assessing emissions from significant upstream activities (materials, inbound logistics), key operational emissions (energy, processes), and critical downstream impacts (transportation to customer, product use, end-of-life). The detailed Bill of Materials (BOM) and specific operational data contribute significantly to this high coverage.</w:t>
      </w:r>
    </w:p>
    <w:p>
      <w:r>
        <w:pict>
          <v:rect style="width:0;height:1.5pt" o:hralign="center" o:hrstd="t" o:hr="t"/>
        </w:pict>
      </w:r>
    </w:p>
    <w:bookmarkEnd w:id="24"/>
    <w:bookmarkEnd w:id="25"/>
    <w:bookmarkStart w:id="31" w:name="step-2-3-map-lifecycle-and-collect-data"/>
    <w:p>
      <w:pPr>
        <w:pStyle w:val="Heading2"/>
      </w:pPr>
      <w:r>
        <w:t xml:space="preserve">2. Step 2 &amp; 3: Map Lifecycle and Collect Data</w:t>
      </w:r>
    </w:p>
    <w:p>
      <w:pPr>
        <w:pStyle w:val="FirstParagraph"/>
      </w:pPr>
      <w:r>
        <w:t xml:space="preserve">This section details the inventory data collected and the lifecycle stages mapped for \'ouhqiodsnu\'. Due to the nature of this report generation, illustrative industry-standard emission factors, consistent with sources like Ecoinvent and DEFRA, are used as placeholders for specific values that would typically be obtained from detailed primary data collection or licensed databases.</w:t>
      </w:r>
    </w:p>
    <w:bookmarkStart w:id="26" w:name="X8eb417b1d69ed95d424efd6693ee2abc8f0ff03"/>
    <w:p>
      <w:pPr>
        <w:pStyle w:val="Heading3"/>
      </w:pPr>
      <w:r>
        <w:t xml:space="preserve">2.1. Raw Material Acquisition &amp; Pre-processing (Scope 3, Category 1: Purchased Goods and Services)</w:t>
      </w:r>
    </w:p>
    <w:p>
      <w:pPr>
        <w:pStyle w:val="FirstParagraph"/>
      </w:pPr>
      <w:r>
        <w:t xml:space="preserve">The Detailed Bill of Materials (BOM) \'xuonofkr\' provides the foundation for calculating the upstream emissions associated with the materials comprising \'ouhqiodsnu\'. The provided \'Total Carbon\' values are directly used as the material impact, representing the cradle-to-gate emissions for each component.</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7.5</w:t>
            </w:r>
          </w:p>
        </w:tc>
        <w:tc>
          <w:tcPr/>
          <w:p>
            <w:pPr>
              <w:pStyle w:val="Compact"/>
              <w:jc w:val="left"/>
            </w:pPr>
            <w:r>
              <w:t xml:space="preserve">3.75</w:t>
            </w:r>
          </w:p>
        </w:tc>
      </w:tr>
      <w:tr>
        <w:tc>
          <w:tcPr/>
          <w:p>
            <w:pPr>
              <w:pStyle w:val="Compact"/>
              <w:jc w:val="left"/>
            </w:pPr>
            <w:r>
              <w:t xml:space="preserve">2</w:t>
            </w:r>
          </w:p>
        </w:tc>
        <w:tc>
          <w:tcPr/>
          <w:p>
            <w:pPr>
              <w:pStyle w:val="Compact"/>
              <w:jc w:val="left"/>
            </w:pPr>
            <w:r>
              <w:t xml:space="preserve">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3.2</w:t>
            </w:r>
          </w:p>
        </w:tc>
        <w:tc>
          <w:tcPr/>
          <w:p>
            <w:pPr>
              <w:pStyle w:val="Compact"/>
              <w:jc w:val="left"/>
            </w:pPr>
            <w:r>
              <w:t xml:space="preserve">0.96</w:t>
            </w:r>
          </w:p>
        </w:tc>
      </w:tr>
      <w:tr>
        <w:tc>
          <w:tcPr/>
          <w:p>
            <w:pPr>
              <w:pStyle w:val="Compact"/>
              <w:jc w:val="left"/>
            </w:pPr>
            <w:r>
              <w:t xml:space="preserve">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2.0</w:t>
            </w:r>
          </w:p>
        </w:tc>
        <w:tc>
          <w:tcPr/>
          <w:p>
            <w:pPr>
              <w:pStyle w:val="Compact"/>
              <w:jc w:val="left"/>
            </w:pPr>
            <w:r>
              <w:t xml:space="preserve">2.00</w:t>
            </w:r>
          </w:p>
        </w:tc>
      </w:tr>
      <w:tr>
        <w:tc>
          <w:tcPr/>
          <w:p>
            <w:pPr>
              <w:pStyle w:val="Compact"/>
              <w:jc w:val="left"/>
            </w:pPr>
            <w:r>
              <w:t xml:space="preserve">4</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18.0</w:t>
            </w:r>
          </w:p>
        </w:tc>
        <w:tc>
          <w:tcPr/>
          <w:p>
            <w:pPr>
              <w:pStyle w:val="Compact"/>
              <w:jc w:val="left"/>
            </w:pPr>
            <w:r>
              <w:t xml:space="preserve">1.80</w:t>
            </w:r>
          </w:p>
        </w:tc>
      </w:tr>
      <w:tr>
        <w:tc>
          <w:tcPr/>
          <w:p>
            <w:pPr>
              <w:pStyle w:val="Compact"/>
              <w:jc w:val="left"/>
            </w:pPr>
            <w:r>
              <w:t xml:space="preserve">5</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0.02</w:t>
            </w:r>
          </w:p>
        </w:tc>
        <w:tc>
          <w:tcPr/>
          <w:p>
            <w:pPr>
              <w:pStyle w:val="Compact"/>
              <w:jc w:val="left"/>
            </w:pPr>
            <w:r>
              <w:t xml:space="preserve">kg</w:t>
            </w:r>
          </w:p>
        </w:tc>
        <w:tc>
          <w:tcPr/>
          <w:p>
            <w:pPr>
              <w:pStyle w:val="Compact"/>
              <w:jc w:val="left"/>
            </w:pPr>
            <w:r>
              <w:t xml:space="preserve">4.0</w:t>
            </w:r>
          </w:p>
        </w:tc>
        <w:tc>
          <w:tcPr/>
          <w:p>
            <w:pPr>
              <w:pStyle w:val="Compact"/>
              <w:jc w:val="left"/>
            </w:pPr>
            <w:r>
              <w:t xml:space="preserve">0.08</w:t>
            </w:r>
          </w:p>
        </w:tc>
      </w:tr>
      <w:tr>
        <w:tc>
          <w:tcPr/>
          <w:p>
            <w:pPr>
              <w:pStyle w:val="Compact"/>
              <w:jc w:val="left"/>
            </w:pPr>
            <w:r>
              <w:t xml:space="preserve">6</w:t>
            </w:r>
          </w:p>
        </w:tc>
        <w:tc>
          <w:tcPr/>
          <w:p>
            <w:pPr>
              <w:pStyle w:val="Compact"/>
              <w:jc w:val="left"/>
            </w:pPr>
            <w:r>
              <w:t xml:space="preserve">Cardboard Packaging</w:t>
            </w:r>
          </w:p>
        </w:tc>
        <w:tc>
          <w:tcPr/>
          <w:p>
            <w:pPr>
              <w:pStyle w:val="Compact"/>
              <w:jc w:val="left"/>
            </w:pPr>
            <w:r>
              <w:t xml:space="preserve">Paper</w:t>
            </w:r>
          </w:p>
        </w:tc>
        <w:tc>
          <w:tcPr/>
          <w:p>
            <w:pPr>
              <w:pStyle w:val="Compact"/>
              <w:jc w:val="left"/>
            </w:pPr>
            <w:r>
              <w:t xml:space="preserve">Converting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1.0</w:t>
            </w:r>
          </w:p>
        </w:tc>
        <w:tc>
          <w:tcPr/>
          <w:p>
            <w:pPr>
              <w:pStyle w:val="Compact"/>
              <w:jc w:val="left"/>
            </w:pPr>
            <w:r>
              <w:t xml:space="preserve">0.20</w:t>
            </w:r>
          </w:p>
        </w:tc>
      </w:tr>
      <w:tr>
        <w:tc>
          <w:tcPr>
            <w:gridSpan w:val="7"/>
          </w:tcPr>
          <w:p>
            <w:pPr>
              <w:pStyle w:val="Compact"/>
              <w:jc w:val="left"/>
            </w:pPr>
            <w:r>
              <w:rPr>
                <w:bCs/>
                <w:b/>
              </w:rPr>
              <w:t xml:space="preserve">Total Material Carbon Footprint:</w:t>
            </w:r>
          </w:p>
        </w:tc>
        <w:tc>
          <w:tcPr/>
          <w:p>
            <w:pPr>
              <w:pStyle w:val="Compact"/>
              <w:jc w:val="left"/>
            </w:pPr>
            <w:r>
              <w:rPr>
                <w:bCs/>
                <w:b/>
              </w:rPr>
              <w:t xml:space="preserve">8.79 kgCO2e</w:t>
            </w:r>
          </w:p>
        </w:tc>
      </w:tr>
    </w:tbl>
    <w:bookmarkEnd w:id="26"/>
    <w:bookmarkStart w:id="27" w:name="manufacturing-scope-1-2"/>
    <w:p>
      <w:pPr>
        <w:pStyle w:val="Heading3"/>
      </w:pPr>
      <w:r>
        <w:t xml:space="preserve">2.2. Manufacturing (Scope 1 &amp; 2)</w:t>
      </w:r>
    </w:p>
    <w:p>
      <w:pPr>
        <w:numPr>
          <w:ilvl w:val="0"/>
          <w:numId w:val="1004"/>
        </w:numPr>
        <w:pStyle w:val="Compact"/>
      </w:pPr>
      <w:r>
        <w:rPr>
          <w:bCs/>
          <w:b/>
        </w:rPr>
        <w:t xml:space="preserve">Energy Intensity (kWh/unit):</w:t>
      </w:r>
      <w:r>
        <w:t xml:space="preserve"> </w:t>
      </w:r>
      <w:r>
        <w:t xml:space="preserve">tprgfzzelj = 12.5 kWh/unit</w:t>
      </w:r>
    </w:p>
    <w:p>
      <w:pPr>
        <w:numPr>
          <w:ilvl w:val="0"/>
          <w:numId w:val="1004"/>
        </w:numPr>
        <w:pStyle w:val="Compact"/>
      </w:pPr>
      <w:r>
        <w:rPr>
          <w:bCs/>
          <w:b/>
        </w:rPr>
        <w:t xml:space="preserve">Renewable Energy Usage:</w:t>
      </w:r>
      <w:r>
        <w:t xml:space="preserve"> </w:t>
      </w:r>
      <w:r>
        <w:t xml:space="preserve">jxemztwmtf = 60%</w:t>
      </w:r>
    </w:p>
    <w:p>
      <w:pPr>
        <w:numPr>
          <w:ilvl w:val="0"/>
          <w:numId w:val="1004"/>
        </w:numPr>
        <w:pStyle w:val="Compact"/>
      </w:pPr>
      <w:r>
        <w:rPr>
          <w:bCs/>
          <w:b/>
        </w:rPr>
        <w:t xml:space="preserve">Grid Electricity Emission Factor (China):</w:t>
      </w:r>
      <w:r>
        <w:t xml:space="preserve"> </w:t>
      </w:r>
      <w:r>
        <w:t xml:space="preserve">An illustrative grid emission factor for China\'s electricity mix is assumed to be 0.75 kgCO2e/kWh (before renewable energy adjustments), reflective of Ecoinvent data for the region.</w:t>
      </w:r>
    </w:p>
    <w:p>
      <w:pPr>
        <w:numPr>
          <w:ilvl w:val="0"/>
          <w:numId w:val="1004"/>
        </w:numPr>
        <w:pStyle w:val="Compact"/>
      </w:pPr>
      <w:r>
        <w:rPr>
          <w:bCs/>
          <w:b/>
        </w:rPr>
        <w:t xml:space="preserve">Effective Grid Emission Factor:</w:t>
      </w:r>
      <w:r>
        <w:t xml:space="preserve"> </w:t>
      </w:r>
      <w:r>
        <w:t xml:space="preserve">(1 - 0.60) * 0.75 kgCO2e/kWh = 0.30 kgCO2e/kWh.</w:t>
      </w:r>
    </w:p>
    <w:p>
      <w:pPr>
        <w:numPr>
          <w:ilvl w:val="0"/>
          <w:numId w:val="1004"/>
        </w:numPr>
        <w:pStyle w:val="Compact"/>
      </w:pPr>
      <w:r>
        <w:rPr>
          <w:bCs/>
          <w:b/>
        </w:rPr>
        <w:t xml:space="preserve">Scope 1 Emissions:</w:t>
      </w:r>
      <w:r>
        <w:t xml:space="preserve"> </w:t>
      </w:r>
      <w:r>
        <w:t xml:space="preserve">For a product PCF at the factory gate, Scope 1 emissions (e.g., from direct combustion for heating) are assumed to be negligible compared to Scope 2 and 3, or are embedded within the electricity generation if produced on-site and sold to the grid. Any minor direct emissions would be captured if more granular factory operational data were provided.</w:t>
      </w:r>
    </w:p>
    <w:bookmarkEnd w:id="27"/>
    <w:bookmarkStart w:id="28" w:name="Xb1e458719e27eef636b77e670899bb3a443cf2a"/>
    <w:p>
      <w:pPr>
        <w:pStyle w:val="Heading3"/>
      </w:pPr>
      <w:r>
        <w:t xml:space="preserve">2.3. Transportation (Scope 3, Category 4 &amp; 9: Upstream and Downstream Transportation and Distribution)</w:t>
      </w:r>
    </w:p>
    <w:p>
      <w:pPr>
        <w:pStyle w:val="FirstParagraph"/>
      </w:pPr>
      <w:r>
        <w:t xml:space="preserve">Logistics data incorporates specific transport modes and distances. Transport emissions are calculated based on the total weight of the product (including packaging, approx. 2.17 kg for ouhqiodsnu based on BOM) and assumed emission factors per tonne-kilometer.</w:t>
      </w:r>
    </w:p>
    <w:p>
      <w:pPr>
        <w:numPr>
          <w:ilvl w:val="0"/>
          <w:numId w:val="1005"/>
        </w:numPr>
        <w:pStyle w:val="Compact"/>
      </w:pPr>
      <w:r>
        <w:rPr>
          <w:bCs/>
          <w:b/>
        </w:rPr>
        <w:t xml:space="preserve">Upstream Transportation (Materials to Factory - Europe to China):</w:t>
      </w:r>
    </w:p>
    <w:p>
      <w:pPr>
        <w:numPr>
          <w:ilvl w:val="1"/>
          <w:numId w:val="1006"/>
        </w:numPr>
        <w:pStyle w:val="Compact"/>
      </w:pPr>
      <w:r>
        <w:rPr>
          <w:bCs/>
          <w:b/>
        </w:rPr>
        <w:t xml:space="preserve">Mode:</w:t>
      </w:r>
      <w:r>
        <w:t xml:space="preserve"> </w:t>
      </w:r>
      <w:r>
        <w:t xml:space="preserve">Ocean Freight (Container Ship)</w:t>
      </w:r>
    </w:p>
    <w:p>
      <w:pPr>
        <w:numPr>
          <w:ilvl w:val="1"/>
          <w:numId w:val="1006"/>
        </w:numPr>
        <w:pStyle w:val="Compact"/>
      </w:pPr>
      <w:r>
        <w:rPr>
          <w:bCs/>
          <w:b/>
        </w:rPr>
        <w:t xml:space="preserve">Distance:</w:t>
      </w:r>
      <w:r>
        <w:t xml:space="preserve"> </w:t>
      </w:r>
      <w:r>
        <w:t xml:space="preserve">fjfdzggqty = 15,000 km</w:t>
      </w:r>
    </w:p>
    <w:p>
      <w:pPr>
        <w:numPr>
          <w:ilvl w:val="1"/>
          <w:numId w:val="1006"/>
        </w:numPr>
        <w:pStyle w:val="Compact"/>
      </w:pPr>
      <w:r>
        <w:rPr>
          <w:bCs/>
          <w:b/>
        </w:rPr>
        <w:t xml:space="preserve">Emission Factor (Ocean Freight):</w:t>
      </w:r>
      <w:r>
        <w:t xml:space="preserve"> </w:t>
      </w:r>
      <w:r>
        <w:t xml:space="preserve">0.01 kgCO2e/tonne-km (Illustrative, Ecoinvent-like)</w:t>
      </w:r>
    </w:p>
    <w:p>
      <w:pPr>
        <w:numPr>
          <w:ilvl w:val="1"/>
          <w:numId w:val="1006"/>
        </w:numPr>
        <w:pStyle w:val="Compact"/>
      </w:pPr>
      <w:r>
        <w:rPr>
          <w:bCs/>
          <w:b/>
        </w:rPr>
        <w:t xml:space="preserve">Mode:</w:t>
      </w:r>
      <w:r>
        <w:t xml:space="preserve"> </w:t>
      </w:r>
      <w:r>
        <w:t xml:space="preserve">Truck (Heavy Goods Vehicle - Port to Factory in China)</w:t>
      </w:r>
    </w:p>
    <w:p>
      <w:pPr>
        <w:numPr>
          <w:ilvl w:val="1"/>
          <w:numId w:val="1006"/>
        </w:numPr>
        <w:pStyle w:val="Compact"/>
      </w:pPr>
      <w:r>
        <w:rPr>
          <w:bCs/>
          <w:b/>
        </w:rPr>
        <w:t xml:space="preserve">Distance:</w:t>
      </w:r>
      <w:r>
        <w:t xml:space="preserve"> </w:t>
      </w:r>
      <w:r>
        <w:t xml:space="preserve">500 km</w:t>
      </w:r>
    </w:p>
    <w:p>
      <w:pPr>
        <w:numPr>
          <w:ilvl w:val="1"/>
          <w:numId w:val="1006"/>
        </w:numPr>
        <w:pStyle w:val="Compact"/>
      </w:pPr>
      <w:r>
        <w:rPr>
          <w:bCs/>
          <w:b/>
        </w:rPr>
        <w:t xml:space="preserve">Emission Factor (Truck HGV):</w:t>
      </w:r>
      <w:r>
        <w:t xml:space="preserve"> </w:t>
      </w:r>
      <w:r>
        <w:t xml:space="preserve">0.08 kgCO2e/tonne-km (Illustrative, Ecoinvent-like)</w:t>
      </w:r>
    </w:p>
    <w:p>
      <w:pPr>
        <w:numPr>
          <w:ilvl w:val="0"/>
          <w:numId w:val="1005"/>
        </w:numPr>
        <w:pStyle w:val="Compact"/>
      </w:pPr>
      <w:r>
        <w:rPr>
          <w:bCs/>
          <w:b/>
        </w:rPr>
        <w:t xml:space="preserve">Downstream Transportation (Factory to Customer - China to Europe):</w:t>
      </w:r>
    </w:p>
    <w:p>
      <w:pPr>
        <w:numPr>
          <w:ilvl w:val="1"/>
          <w:numId w:val="1007"/>
        </w:numPr>
        <w:pStyle w:val="Compact"/>
      </w:pPr>
      <w:r>
        <w:rPr>
          <w:bCs/>
          <w:b/>
        </w:rPr>
        <w:t xml:space="preserve">Mode:</w:t>
      </w:r>
      <w:r>
        <w:t xml:space="preserve"> </w:t>
      </w:r>
      <w:r>
        <w:t xml:space="preserve">Ocean Freight (Container Ship)</w:t>
      </w:r>
    </w:p>
    <w:p>
      <w:pPr>
        <w:numPr>
          <w:ilvl w:val="1"/>
          <w:numId w:val="1007"/>
        </w:numPr>
        <w:pStyle w:val="Compact"/>
      </w:pPr>
      <w:r>
        <w:rPr>
          <w:bCs/>
          <w:b/>
        </w:rPr>
        <w:t xml:space="preserve">Distance:</w:t>
      </w:r>
      <w:r>
        <w:t xml:space="preserve"> </w:t>
      </w:r>
      <w:r>
        <w:t xml:space="preserve">15,000 km (Assumed similar to inbound for product distribution hub)</w:t>
      </w:r>
    </w:p>
    <w:p>
      <w:pPr>
        <w:numPr>
          <w:ilvl w:val="1"/>
          <w:numId w:val="1007"/>
        </w:numPr>
        <w:pStyle w:val="Compact"/>
      </w:pPr>
      <w:r>
        <w:rPr>
          <w:bCs/>
          <w:b/>
        </w:rPr>
        <w:t xml:space="preserve">Emission Factor (Ocean Freight):</w:t>
      </w:r>
      <w:r>
        <w:t xml:space="preserve"> </w:t>
      </w:r>
      <w:r>
        <w:t xml:space="preserve">0.01 kgCO2e/tonne-km</w:t>
      </w:r>
    </w:p>
    <w:p>
      <w:pPr>
        <w:numPr>
          <w:ilvl w:val="1"/>
          <w:numId w:val="1007"/>
        </w:numPr>
        <w:pStyle w:val="Compact"/>
      </w:pPr>
      <w:r>
        <w:rPr>
          <w:bCs/>
          <w:b/>
        </w:rPr>
        <w:t xml:space="preserve">Mode:</w:t>
      </w:r>
      <w:r>
        <w:t xml:space="preserve"> </w:t>
      </w:r>
      <w:r>
        <w:t xml:space="preserve">Truck (Heavy Goods Vehicle - Port to Distribution Center in Europe)</w:t>
      </w:r>
    </w:p>
    <w:p>
      <w:pPr>
        <w:numPr>
          <w:ilvl w:val="1"/>
          <w:numId w:val="1007"/>
        </w:numPr>
        <w:pStyle w:val="Compact"/>
      </w:pPr>
      <w:r>
        <w:rPr>
          <w:bCs/>
          <w:b/>
        </w:rPr>
        <w:t xml:space="preserve">Distance:</w:t>
      </w:r>
      <w:r>
        <w:t xml:space="preserve"> </w:t>
      </w:r>
      <w:r>
        <w:t xml:space="preserve">500 km (Assumed similar to outbound from port)</w:t>
      </w:r>
    </w:p>
    <w:p>
      <w:pPr>
        <w:numPr>
          <w:ilvl w:val="1"/>
          <w:numId w:val="1007"/>
        </w:numPr>
        <w:pStyle w:val="Compact"/>
      </w:pPr>
      <w:r>
        <w:rPr>
          <w:bCs/>
          <w:b/>
        </w:rPr>
        <w:t xml:space="preserve">Emission Factor (Truck HGV):</w:t>
      </w:r>
      <w:r>
        <w:t xml:space="preserve"> </w:t>
      </w:r>
      <w:r>
        <w:t xml:space="preserve">0.08 kgCO2e/tonne-km</w:t>
      </w:r>
    </w:p>
    <w:p>
      <w:pPr>
        <w:numPr>
          <w:ilvl w:val="1"/>
          <w:numId w:val="1007"/>
        </w:numPr>
        <w:pStyle w:val="Compact"/>
      </w:pPr>
      <w:r>
        <w:rPr>
          <w:bCs/>
          <w:b/>
        </w:rPr>
        <w:t xml:space="preserve">Last-Mile Delivery Channel:</w:t>
      </w:r>
      <w:r>
        <w:t xml:space="preserve"> </w:t>
      </w:r>
      <w:r>
        <w:t xml:space="preserve">Delivery Type = Light Commercial Van</w:t>
      </w:r>
    </w:p>
    <w:p>
      <w:pPr>
        <w:numPr>
          <w:ilvl w:val="1"/>
          <w:numId w:val="1007"/>
        </w:numPr>
        <w:pStyle w:val="Compact"/>
      </w:pPr>
      <w:r>
        <w:rPr>
          <w:bCs/>
          <w:b/>
        </w:rPr>
        <w:t xml:space="preserve">Distance (Last-Mile):</w:t>
      </w:r>
      <w:r>
        <w:t xml:space="preserve"> </w:t>
      </w:r>
      <w:r>
        <w:t xml:space="preserve">200 km (Average from DC to end-customer)</w:t>
      </w:r>
    </w:p>
    <w:p>
      <w:pPr>
        <w:numPr>
          <w:ilvl w:val="1"/>
          <w:numId w:val="1007"/>
        </w:numPr>
        <w:pStyle w:val="Compact"/>
      </w:pPr>
      <w:r>
        <w:rPr>
          <w:bCs/>
          <w:b/>
        </w:rPr>
        <w:t xml:space="preserve">Emission Factor (Light Commercial Van):</w:t>
      </w:r>
      <w:r>
        <w:t xml:space="preserve"> </w:t>
      </w:r>
      <w:r>
        <w:t xml:space="preserve">0.15 kgCO2e/tonne-km (Illustrative, Ecoinvent-like)</w:t>
      </w:r>
    </w:p>
    <w:bookmarkEnd w:id="28"/>
    <w:bookmarkStart w:id="29" w:name="Xc8d47610e025d3b1fe367d676386ecee874efa3"/>
    <w:p>
      <w:pPr>
        <w:pStyle w:val="Heading3"/>
      </w:pPr>
      <w:r>
        <w:t xml:space="preserve">2.4. Use Phase (Scope 3, Category 11: Use of Sold Products)</w:t>
      </w:r>
    </w:p>
    <w:p>
      <w:pPr>
        <w:numPr>
          <w:ilvl w:val="0"/>
          <w:numId w:val="1008"/>
        </w:numPr>
        <w:pStyle w:val="Compact"/>
      </w:pPr>
      <w:r>
        <w:rPr>
          <w:bCs/>
          <w:b/>
        </w:rPr>
        <w:t xml:space="preserve">Product Lifespan:</w:t>
      </w:r>
      <w:r>
        <w:t xml:space="preserve"> </w:t>
      </w:r>
      <w:r>
        <w:t xml:space="preserve">svyqstkhtq = 7 years</w:t>
      </w:r>
    </w:p>
    <w:p>
      <w:pPr>
        <w:numPr>
          <w:ilvl w:val="0"/>
          <w:numId w:val="1008"/>
        </w:numPr>
        <w:pStyle w:val="Compact"/>
      </w:pPr>
      <w:r>
        <w:rPr>
          <w:bCs/>
          <w:b/>
        </w:rPr>
        <w:t xml:space="preserve">Energy Consumption in Use:</w:t>
      </w:r>
      <w:r>
        <w:t xml:space="preserve"> </w:t>
      </w:r>
      <w:r>
        <w:t xml:space="preserve">yyoiekrhui = 1.5 kWh/year</w:t>
      </w:r>
    </w:p>
    <w:p>
      <w:pPr>
        <w:numPr>
          <w:ilvl w:val="0"/>
          <w:numId w:val="1008"/>
        </w:numPr>
        <w:pStyle w:val="Compact"/>
      </w:pPr>
      <w:r>
        <w:rPr>
          <w:bCs/>
          <w:b/>
        </w:rPr>
        <w:t xml:space="preserve">Average Grid Emission Factor (European Market):</w:t>
      </w:r>
      <w:r>
        <w:t xml:space="preserve"> </w:t>
      </w:r>
      <w:r>
        <w:t xml:space="preserve">An illustrative grid emission factor for the average European electricity mix is assumed to be 0.25 kgCO2e/kWh for the use phase, reflecting the geographic scope.</w:t>
      </w:r>
    </w:p>
    <w:bookmarkEnd w:id="29"/>
    <w:bookmarkStart w:id="30" w:name="X9982929b618de862c11111658ccce8db3e98553"/>
    <w:p>
      <w:pPr>
        <w:pStyle w:val="Heading3"/>
      </w:pPr>
      <w:r>
        <w:t xml:space="preserve">2.5. End-of-Life (EoL) (Scope 3, Category 12: End-of-Life Treatment of Sold Products)</w:t>
      </w:r>
    </w:p>
    <w:p>
      <w:pPr>
        <w:numPr>
          <w:ilvl w:val="0"/>
          <w:numId w:val="1009"/>
        </w:numPr>
        <w:pStyle w:val="Compact"/>
      </w:pPr>
      <w:r>
        <w:rPr>
          <w:bCs/>
          <w:b/>
        </w:rPr>
        <w:t xml:space="preserve">Recyclability Percentage:</w:t>
      </w:r>
      <w:r>
        <w:t xml:space="preserve"> </w:t>
      </w:r>
      <w:r>
        <w:t xml:space="preserve">lorjnjkyiw = 65%</w:t>
      </w:r>
    </w:p>
    <w:p>
      <w:pPr>
        <w:numPr>
          <w:ilvl w:val="0"/>
          <w:numId w:val="1009"/>
        </w:numPr>
        <w:pStyle w:val="Compact"/>
      </w:pPr>
      <w:r>
        <w:rPr>
          <w:bCs/>
          <w:b/>
        </w:rPr>
        <w:t xml:space="preserve">Circular/Take-back Programs:</w:t>
      </w:r>
      <w:r>
        <w:t xml:space="preserve"> </w:t>
      </w:r>
      <w:r>
        <w:t xml:space="preserve">gvjhnekedy = Yes, a regional take-back program in key European markets.</w:t>
      </w:r>
    </w:p>
    <w:p>
      <w:pPr>
        <w:numPr>
          <w:ilvl w:val="0"/>
          <w:numId w:val="1009"/>
        </w:numPr>
        <w:pStyle w:val="Compact"/>
      </w:pPr>
      <w:r>
        <w:rPr>
          <w:bCs/>
          <w:b/>
        </w:rPr>
        <w:t xml:space="preserve">Disposal Scenarios:</w:t>
      </w:r>
    </w:p>
    <w:p>
      <w:pPr>
        <w:numPr>
          <w:ilvl w:val="1"/>
          <w:numId w:val="1010"/>
        </w:numPr>
        <w:pStyle w:val="Compact"/>
      </w:pPr>
      <w:r>
        <w:t xml:space="preserve">65% Recycled (Credit applied based on avoided virgin material production).</w:t>
      </w:r>
    </w:p>
    <w:p>
      <w:pPr>
        <w:numPr>
          <w:ilvl w:val="1"/>
          <w:numId w:val="1010"/>
        </w:numPr>
        <w:pStyle w:val="Compact"/>
      </w:pPr>
      <w:r>
        <w:t xml:space="preserve">35% Remaining (Assumed 15% to incineration, 20% to landfill for non-recyclable parts).</w:t>
      </w:r>
    </w:p>
    <w:p>
      <w:pPr>
        <w:numPr>
          <w:ilvl w:val="0"/>
          <w:numId w:val="1009"/>
        </w:numPr>
        <w:pStyle w:val="Compact"/>
      </w:pPr>
      <w:r>
        <w:rPr>
          <w:bCs/>
          <w:b/>
        </w:rPr>
        <w:t xml:space="preserve">Illustrative EoL Emission Factors/Credits:</w:t>
      </w:r>
    </w:p>
    <w:p>
      <w:pPr>
        <w:numPr>
          <w:ilvl w:val="1"/>
          <w:numId w:val="1011"/>
        </w:numPr>
        <w:pStyle w:val="Compact"/>
      </w:pPr>
      <w:r>
        <w:t xml:space="preserve">Recycling Credit: -50% of original material emissions for the recycled portion (average).</w:t>
      </w:r>
    </w:p>
    <w:p>
      <w:pPr>
        <w:numPr>
          <w:ilvl w:val="1"/>
          <w:numId w:val="1011"/>
        </w:numPr>
        <w:pStyle w:val="Compact"/>
      </w:pPr>
      <w:r>
        <w:t xml:space="preserve">Incineration: 1.0 kgCO2e/kg (illustrative).</w:t>
      </w:r>
    </w:p>
    <w:p>
      <w:pPr>
        <w:numPr>
          <w:ilvl w:val="1"/>
          <w:numId w:val="1011"/>
        </w:numPr>
        <w:pStyle w:val="Compact"/>
      </w:pPr>
      <w:r>
        <w:t xml:space="preserve">Landfill: 0.2 kgCO2e/kg (illustrative).</w:t>
      </w:r>
    </w:p>
    <w:p>
      <w:r>
        <w:pict>
          <v:rect style="width:0;height:1.5pt" o:hralign="center" o:hrstd="t" o:hr="t"/>
        </w:pict>
      </w:r>
    </w:p>
    <w:bookmarkEnd w:id="30"/>
    <w:bookmarkEnd w:id="31"/>
    <w:bookmarkStart w:id="41" w:name="step-4-calculate-emissions"/>
    <w:p>
      <w:pPr>
        <w:pStyle w:val="Heading2"/>
      </w:pPr>
      <w:r>
        <w:t xml:space="preserve">3. Step 4: Calculate Emissions</w:t>
      </w:r>
    </w:p>
    <w:p>
      <w:pPr>
        <w:pStyle w:val="FirstParagraph"/>
      </w:pPr>
      <w:r>
        <w:t xml:space="preserve">The following calculations detail the CO2e emissions for each lifecycle stage of \'ouhqiodsnu\', categorized by GHG Protocol scopes.</w:t>
      </w:r>
    </w:p>
    <w:bookmarkStart w:id="39" w:name="calculations"/>
    <w:p>
      <w:pPr>
        <w:pStyle w:val="Heading3"/>
      </w:pPr>
      <w:r>
        <w:t xml:space="preserve">3.1. Calculations</w:t>
      </w:r>
    </w:p>
    <w:bookmarkStart w:id="32" w:name="materials-scope-3-category-1"/>
    <w:p>
      <w:pPr>
        <w:pStyle w:val="Heading4"/>
      </w:pPr>
      <w:r>
        <w:t xml:space="preserve">3.1.1. Materials (Scope 3, Category 1)</w:t>
      </w:r>
    </w:p>
    <w:p>
      <w:pPr>
        <w:pStyle w:val="FirstParagraph"/>
      </w:pPr>
      <w:r>
        <w:t xml:space="preserve">Total Material Carbon Footprint = 8.79 kgCO2e (Directly from BOM \'Total Carbon\' column)</w:t>
      </w:r>
    </w:p>
    <w:bookmarkEnd w:id="32"/>
    <w:bookmarkStart w:id="33" w:name="manufacturing-factory-operations"/>
    <w:p>
      <w:pPr>
        <w:pStyle w:val="Heading4"/>
      </w:pPr>
      <w:r>
        <w:t xml:space="preserve">3.1.2. Manufacturing (Factory Operations)</w:t>
      </w:r>
    </w:p>
    <w:p>
      <w:pPr>
        <w:pStyle w:val="FirstParagraph"/>
      </w:pPr>
      <w:r>
        <w:rPr>
          <w:bCs/>
          <w:b/>
        </w:rPr>
        <w:t xml:space="preserve">Energy Consumption:</w:t>
      </w:r>
      <w:r>
        <w:t xml:space="preserve"> </w:t>
      </w:r>
      <w:r>
        <w:t xml:space="preserve">1 unit * 12.5 kWh/unit = 12.5 kWh</w:t>
      </w:r>
    </w:p>
    <w:p>
      <w:pPr>
        <w:pStyle w:val="BodyText"/>
      </w:pPr>
      <w:r>
        <w:rPr>
          <w:bCs/>
          <w:b/>
        </w:rPr>
        <w:t xml:space="preserve">Emissions from Purchased Electricity (Scope 2):</w:t>
      </w:r>
    </w:p>
    <w:p>
      <w:pPr>
        <w:pStyle w:val="BodyText"/>
      </w:pPr>
      <w:r>
        <w:t xml:space="preserve">12.5 kWh * 0.30 kgCO2e/kWh (Effective Grid Factor) = 3.75 kgCO2e</w:t>
      </w:r>
    </w:p>
    <w:bookmarkEnd w:id="33"/>
    <w:bookmarkStart w:id="36" w:name="transportation-scope-3-category-4-9"/>
    <w:p>
      <w:pPr>
        <w:pStyle w:val="Heading4"/>
      </w:pPr>
      <w:r>
        <w:t xml:space="preserve">3.1.3. Transportation (Scope 3, Category 4 &amp; 9)</w:t>
      </w:r>
    </w:p>
    <w:p>
      <w:pPr>
        <w:pStyle w:val="FirstParagraph"/>
      </w:pPr>
      <w:r>
        <w:t xml:space="preserve">Product Weight (approx. including packaging): 0.5 + 0.3 + 1.0 (PCB is a unit, but assuming its mass is minor compared to casing/battery) + 0.1 + 0.02 + 0.2 = 2.12 kg (rounded to 0.00212 tonnes for transport calculation).</w:t>
      </w:r>
    </w:p>
    <w:bookmarkStart w:id="34" w:name="upstream-transportation"/>
    <w:p>
      <w:pPr>
        <w:pStyle w:val="Heading5"/>
      </w:pPr>
      <w:r>
        <w:t xml:space="preserve">Upstream Transportation:</w:t>
      </w:r>
    </w:p>
    <w:p>
      <w:pPr>
        <w:numPr>
          <w:ilvl w:val="0"/>
          <w:numId w:val="1012"/>
        </w:numPr>
        <w:pStyle w:val="Compact"/>
      </w:pPr>
      <w:r>
        <w:rPr>
          <w:bCs/>
          <w:b/>
        </w:rPr>
        <w:t xml:space="preserve">Ocean Freight (Europe to China):</w:t>
      </w:r>
      <w:r>
        <w:t xml:space="preserve"> </w:t>
      </w:r>
      <w:r>
        <w:t xml:space="preserve">0.00212 tonnes * 15,000 km * 0.01 kgCO2e/tonne-km = 0.318 kgCO2e</w:t>
      </w:r>
    </w:p>
    <w:p>
      <w:pPr>
        <w:numPr>
          <w:ilvl w:val="0"/>
          <w:numId w:val="1012"/>
        </w:numPr>
        <w:pStyle w:val="Compact"/>
      </w:pPr>
      <w:r>
        <w:rPr>
          <w:bCs/>
          <w:b/>
        </w:rPr>
        <w:t xml:space="preserve">Truck HGV (Port to Factory in China):</w:t>
      </w:r>
      <w:r>
        <w:t xml:space="preserve"> </w:t>
      </w:r>
      <w:r>
        <w:t xml:space="preserve">0.00212 tonnes * 500 km * 0.08 kgCO2e/tonne-km = 0.085 kgCO2e</w:t>
      </w:r>
    </w:p>
    <w:p>
      <w:pPr>
        <w:numPr>
          <w:ilvl w:val="0"/>
          <w:numId w:val="1012"/>
        </w:numPr>
        <w:pStyle w:val="Compact"/>
      </w:pPr>
      <w:r>
        <w:rPr>
          <w:bCs/>
          <w:b/>
        </w:rPr>
        <w:t xml:space="preserve">Total Upstream Transport:</w:t>
      </w:r>
      <w:r>
        <w:t xml:space="preserve"> </w:t>
      </w:r>
      <w:r>
        <w:t xml:space="preserve">0.318 + 0.085 = 0.403 kgCO2e</w:t>
      </w:r>
    </w:p>
    <w:bookmarkEnd w:id="34"/>
    <w:bookmarkStart w:id="35" w:name="downstream-transportation"/>
    <w:p>
      <w:pPr>
        <w:pStyle w:val="Heading5"/>
      </w:pPr>
      <w:r>
        <w:t xml:space="preserve">Downstream Transportation:</w:t>
      </w:r>
    </w:p>
    <w:p>
      <w:pPr>
        <w:numPr>
          <w:ilvl w:val="0"/>
          <w:numId w:val="1013"/>
        </w:numPr>
        <w:pStyle w:val="Compact"/>
      </w:pPr>
      <w:r>
        <w:rPr>
          <w:bCs/>
          <w:b/>
        </w:rPr>
        <w:t xml:space="preserve">Ocean Freight (China to Europe):</w:t>
      </w:r>
      <w:r>
        <w:t xml:space="preserve"> </w:t>
      </w:r>
      <w:r>
        <w:t xml:space="preserve">0.00212 tonnes * 15,000 km * 0.01 kgCO2e/tonne-km = 0.318 kgCO2e</w:t>
      </w:r>
    </w:p>
    <w:p>
      <w:pPr>
        <w:numPr>
          <w:ilvl w:val="0"/>
          <w:numId w:val="1013"/>
        </w:numPr>
        <w:pStyle w:val="Compact"/>
      </w:pPr>
      <w:r>
        <w:rPr>
          <w:bCs/>
          <w:b/>
        </w:rPr>
        <w:t xml:space="preserve">Truck HGV (Port to DC in Europe):</w:t>
      </w:r>
      <w:r>
        <w:t xml:space="preserve"> </w:t>
      </w:r>
      <w:r>
        <w:t xml:space="preserve">0.00212 tonnes * 500 km * 0.08 kgCO2e/tonne-km = 0.085 kgCO2e</w:t>
      </w:r>
    </w:p>
    <w:p>
      <w:pPr>
        <w:numPr>
          <w:ilvl w:val="0"/>
          <w:numId w:val="1013"/>
        </w:numPr>
        <w:pStyle w:val="Compact"/>
      </w:pPr>
      <w:r>
        <w:rPr>
          <w:bCs/>
          <w:b/>
        </w:rPr>
        <w:t xml:space="preserve">Last-Mile Delivery (Light Commercial Van):</w:t>
      </w:r>
      <w:r>
        <w:t xml:space="preserve"> </w:t>
      </w:r>
      <w:r>
        <w:t xml:space="preserve">0.00212 tonnes * 200 km * 0.15 kgCO2e/tonne-km = 0.064 kgCO2e</w:t>
      </w:r>
    </w:p>
    <w:p>
      <w:pPr>
        <w:numPr>
          <w:ilvl w:val="0"/>
          <w:numId w:val="1013"/>
        </w:numPr>
        <w:pStyle w:val="Compact"/>
      </w:pPr>
      <w:r>
        <w:rPr>
          <w:bCs/>
          <w:b/>
        </w:rPr>
        <w:t xml:space="preserve">Total Downstream Transport:</w:t>
      </w:r>
      <w:r>
        <w:t xml:space="preserve"> </w:t>
      </w:r>
      <w:r>
        <w:t xml:space="preserve">0.318 + 0.085 + 0.064 = 0.467 kgCO2e</w:t>
      </w:r>
    </w:p>
    <w:p>
      <w:pPr>
        <w:pStyle w:val="FirstParagraph"/>
      </w:pPr>
      <w:r>
        <w:rPr>
          <w:bCs/>
          <w:b/>
        </w:rPr>
        <w:t xml:space="preserve">Total Transportation Emissions:</w:t>
      </w:r>
      <w:r>
        <w:t xml:space="preserve"> </w:t>
      </w:r>
      <w:r>
        <w:t xml:space="preserve">0.403 + 0.467 = 0.870 kgCO2e</w:t>
      </w:r>
    </w:p>
    <w:bookmarkEnd w:id="35"/>
    <w:bookmarkEnd w:id="36"/>
    <w:bookmarkStart w:id="37" w:name="use-phase-scope-3-category-11"/>
    <w:p>
      <w:pPr>
        <w:pStyle w:val="Heading4"/>
      </w:pPr>
      <w:r>
        <w:t xml:space="preserve">3.1.4. Use Phase (Scope 3, Category 11)</w:t>
      </w:r>
    </w:p>
    <w:p>
      <w:pPr>
        <w:pStyle w:val="FirstParagraph"/>
      </w:pPr>
      <w:r>
        <w:rPr>
          <w:bCs/>
          <w:b/>
        </w:rPr>
        <w:t xml:space="preserve">Annual Energy Consumption:</w:t>
      </w:r>
      <w:r>
        <w:t xml:space="preserve"> </w:t>
      </w:r>
      <w:r>
        <w:t xml:space="preserve">1.5 kWh/year</w:t>
      </w:r>
    </w:p>
    <w:p>
      <w:pPr>
        <w:pStyle w:val="BodyText"/>
      </w:pPr>
      <w:r>
        <w:rPr>
          <w:bCs/>
          <w:b/>
        </w:rPr>
        <w:t xml:space="preserve">Annual Use Phase Emissions:</w:t>
      </w:r>
      <w:r>
        <w:t xml:space="preserve"> </w:t>
      </w:r>
      <w:r>
        <w:t xml:space="preserve">1.5 kWh/year * 0.25 kgCO2e/kWh (European Grid Factor) = 0.375 kgCO2e/year</w:t>
      </w:r>
    </w:p>
    <w:p>
      <w:pPr>
        <w:pStyle w:val="BodyText"/>
      </w:pPr>
      <w:r>
        <w:rPr>
          <w:bCs/>
          <w:b/>
        </w:rPr>
        <w:t xml:space="preserve">Total Use Phase Emissions (over 7 years):</w:t>
      </w:r>
      <w:r>
        <w:t xml:space="preserve"> </w:t>
      </w:r>
      <w:r>
        <w:t xml:space="preserve">0.375 kgCO2e/year * 7 years = 2.625 kgCO2e</w:t>
      </w:r>
    </w:p>
    <w:bookmarkEnd w:id="37"/>
    <w:bookmarkStart w:id="38" w:name="end-of-life-eol-scope-3-category-12"/>
    <w:p>
      <w:pPr>
        <w:pStyle w:val="Heading4"/>
      </w:pPr>
      <w:r>
        <w:t xml:space="preserve">3.1.5. End-of-Life (EoL) (Scope 3, Category 12)</w:t>
      </w:r>
    </w:p>
    <w:p>
      <w:pPr>
        <w:pStyle w:val="FirstParagraph"/>
      </w:pPr>
      <w:r>
        <w:t xml:space="preserve">Total product weight (excluding packaging as packaging is handled separately in BOM and EoL) = 2.12 kg - 0.2 kg (packaging) = 1.92 kg.</w:t>
      </w:r>
    </w:p>
    <w:p>
      <w:pPr>
        <w:numPr>
          <w:ilvl w:val="0"/>
          <w:numId w:val="1014"/>
        </w:numPr>
        <w:pStyle w:val="Compact"/>
      </w:pPr>
      <w:r>
        <w:rPr>
          <w:bCs/>
          <w:b/>
        </w:rPr>
        <w:t xml:space="preserve">Recycled Portion:</w:t>
      </w:r>
      <w:r>
        <w:t xml:space="preserve"> </w:t>
      </w:r>
      <w:r>
        <w:t xml:space="preserve">1.92 kg * 0.65 = 1.248 kg</w:t>
      </w:r>
    </w:p>
    <w:p>
      <w:pPr>
        <w:numPr>
          <w:ilvl w:val="0"/>
          <w:numId w:val="1014"/>
        </w:numPr>
        <w:pStyle w:val="Compact"/>
      </w:pPr>
      <w:r>
        <w:rPr>
          <w:bCs/>
          <w:b/>
        </w:rPr>
        <w:t xml:space="preserve">Non-Recycled Portion:</w:t>
      </w:r>
      <w:r>
        <w:t xml:space="preserve"> </w:t>
      </w:r>
      <w:r>
        <w:t xml:space="preserve">1.92 kg * 0.35 = 0.672 kg</w:t>
      </w:r>
    </w:p>
    <w:p>
      <w:pPr>
        <w:pStyle w:val="FirstParagraph"/>
      </w:pPr>
      <w:r>
        <w:rPr>
          <w:bCs/>
          <w:b/>
        </w:rPr>
        <w:t xml:space="preserve">Recycling Credit:</w:t>
      </w:r>
    </w:p>
    <w:p>
      <w:pPr>
        <w:pStyle w:val="BodyText"/>
      </w:pPr>
      <w:r>
        <w:t xml:space="preserve">Total Material Carbon Footprint (excluding packaging): 8.79 - 0.20 (packaging) = 8.59 kgCO2e</w:t>
      </w:r>
    </w:p>
    <w:p>
      <w:pPr>
        <w:pStyle w:val="BodyText"/>
      </w:pPr>
      <w:r>
        <w:t xml:space="preserve">Average material emission factor (product only): 8.59 kgCO2e / 1.92 kg = 4.47 kgCO2e/kg</w:t>
      </w:r>
    </w:p>
    <w:p>
      <w:pPr>
        <w:pStyle w:val="BodyText"/>
      </w:pPr>
      <w:r>
        <w:t xml:space="preserve">Recycling Credit = 1.248 kg * 0.50 * 4.47 kgCO2e/kg = -2.78 kgCO2e</w:t>
      </w:r>
    </w:p>
    <w:p>
      <w:pPr>
        <w:pStyle w:val="BodyText"/>
      </w:pPr>
      <w:r>
        <w:rPr>
          <w:bCs/>
          <w:b/>
        </w:rPr>
        <w:t xml:space="preserve">Disposal Emissions (for non-recycled portion):</w:t>
      </w:r>
    </w:p>
    <w:p>
      <w:pPr>
        <w:numPr>
          <w:ilvl w:val="0"/>
          <w:numId w:val="1015"/>
        </w:numPr>
        <w:pStyle w:val="Compact"/>
      </w:pPr>
      <w:r>
        <w:rPr>
          <w:bCs/>
          <w:b/>
        </w:rPr>
        <w:t xml:space="preserve">Incineration (15% of non-recycled):</w:t>
      </w:r>
      <w:r>
        <w:t xml:space="preserve"> </w:t>
      </w:r>
      <w:r>
        <w:t xml:space="preserve">0.672 kg * (15/35) * 1.0 kgCO2e/kg = 0.288 kgCO2e</w:t>
      </w:r>
    </w:p>
    <w:p>
      <w:pPr>
        <w:numPr>
          <w:ilvl w:val="0"/>
          <w:numId w:val="1015"/>
        </w:numPr>
        <w:pStyle w:val="Compact"/>
      </w:pPr>
      <w:r>
        <w:rPr>
          <w:bCs/>
          <w:b/>
        </w:rPr>
        <w:t xml:space="preserve">Landfill (20% of non-recycled):</w:t>
      </w:r>
      <w:r>
        <w:t xml:space="preserve"> </w:t>
      </w:r>
      <w:r>
        <w:t xml:space="preserve">0.672 kg * (20/35) * 0.2 kgCO2e/kg = 0.077 kgCO2e</w:t>
      </w:r>
    </w:p>
    <w:p>
      <w:pPr>
        <w:pStyle w:val="FirstParagraph"/>
      </w:pPr>
      <w:r>
        <w:rPr>
          <w:bCs/>
          <w:b/>
        </w:rPr>
        <w:t xml:space="preserve">Total EoL Emissions:</w:t>
      </w:r>
      <w:r>
        <w:t xml:space="preserve"> </w:t>
      </w:r>
      <w:r>
        <w:t xml:space="preserve">-2.78 + 0.288 + 0.077 = -2.415 kgCO2e</w:t>
      </w:r>
    </w:p>
    <w:p>
      <w:pPr>
        <w:pStyle w:val="BodyText"/>
      </w:pPr>
      <w:r>
        <w:t xml:space="preserve">The net negative emissions for End-of-Life indicate a significant benefit from the high recyclability and circular economy programs.</w:t>
      </w:r>
    </w:p>
    <w:bookmarkEnd w:id="38"/>
    <w:bookmarkEnd w:id="39"/>
    <w:bookmarkStart w:id="40" w:name="X299a3717db401fbc63eac38de0814f3ad8939f4"/>
    <w:p>
      <w:pPr>
        <w:pStyle w:val="Heading3"/>
      </w:pPr>
      <w:r>
        <w:t xml:space="preserve">3.2. Total Product Carbon Footprint (PCF) Summary</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w:t>
            </w:r>
          </w:p>
        </w:tc>
      </w:tr>
      <w:tr>
        <w:tc>
          <w:tcPr/>
          <w:p>
            <w:pPr>
              <w:pStyle w:val="Compact"/>
              <w:jc w:val="left"/>
            </w:pPr>
            <w:r>
              <w:t xml:space="preserve">Raw Material Acquisition &amp; Pre-processing</w:t>
            </w:r>
          </w:p>
        </w:tc>
        <w:tc>
          <w:tcPr/>
          <w:p>
            <w:pPr>
              <w:pStyle w:val="Compact"/>
              <w:jc w:val="left"/>
            </w:pPr>
            <w:r>
              <w:t xml:space="preserve">Scope 3 (Category 1)</w:t>
            </w:r>
          </w:p>
        </w:tc>
        <w:tc>
          <w:tcPr/>
          <w:p>
            <w:pPr>
              <w:pStyle w:val="Compact"/>
              <w:jc w:val="left"/>
            </w:pPr>
            <w:r>
              <w:t xml:space="preserve">8.79</w:t>
            </w:r>
          </w:p>
        </w:tc>
      </w:tr>
      <w:tr>
        <w:tc>
          <w:tcPr/>
          <w:p>
            <w:pPr>
              <w:pStyle w:val="Compact"/>
              <w:jc w:val="left"/>
            </w:pPr>
            <w:r>
              <w:t xml:space="preserve">Manufacturing Energy</w:t>
            </w:r>
          </w:p>
        </w:tc>
        <w:tc>
          <w:tcPr/>
          <w:p>
            <w:pPr>
              <w:pStyle w:val="Compact"/>
              <w:jc w:val="left"/>
            </w:pPr>
            <w:r>
              <w:t xml:space="preserve">Scope 2</w:t>
            </w:r>
          </w:p>
        </w:tc>
        <w:tc>
          <w:tcPr/>
          <w:p>
            <w:pPr>
              <w:pStyle w:val="Compact"/>
              <w:jc w:val="left"/>
            </w:pPr>
            <w:r>
              <w:t xml:space="preserve">3.75</w:t>
            </w:r>
          </w:p>
        </w:tc>
      </w:tr>
      <w:tr>
        <w:tc>
          <w:tcPr/>
          <w:p>
            <w:pPr>
              <w:pStyle w:val="Compact"/>
              <w:jc w:val="left"/>
            </w:pPr>
            <w:r>
              <w:t xml:space="preserve">Upstream Transportation</w:t>
            </w:r>
          </w:p>
        </w:tc>
        <w:tc>
          <w:tcPr/>
          <w:p>
            <w:pPr>
              <w:pStyle w:val="Compact"/>
              <w:jc w:val="left"/>
            </w:pPr>
            <w:r>
              <w:t xml:space="preserve">Scope 3 (Category 4)</w:t>
            </w:r>
          </w:p>
        </w:tc>
        <w:tc>
          <w:tcPr/>
          <w:p>
            <w:pPr>
              <w:pStyle w:val="Compact"/>
              <w:jc w:val="left"/>
            </w:pPr>
            <w:r>
              <w:t xml:space="preserve">0.40</w:t>
            </w:r>
          </w:p>
        </w:tc>
      </w:tr>
      <w:tr>
        <w:tc>
          <w:tcPr/>
          <w:p>
            <w:pPr>
              <w:pStyle w:val="Compact"/>
              <w:jc w:val="left"/>
            </w:pPr>
            <w:r>
              <w:t xml:space="preserve">Downstream Transportation</w:t>
            </w:r>
          </w:p>
        </w:tc>
        <w:tc>
          <w:tcPr/>
          <w:p>
            <w:pPr>
              <w:pStyle w:val="Compact"/>
              <w:jc w:val="left"/>
            </w:pPr>
            <w:r>
              <w:t xml:space="preserve">Scope 3 (Category 9)</w:t>
            </w:r>
          </w:p>
        </w:tc>
        <w:tc>
          <w:tcPr/>
          <w:p>
            <w:pPr>
              <w:pStyle w:val="Compact"/>
              <w:jc w:val="left"/>
            </w:pPr>
            <w:r>
              <w:t xml:space="preserve">0.47</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2.63</w:t>
            </w:r>
          </w:p>
        </w:tc>
      </w:tr>
      <w:tr>
        <w:tc>
          <w:tcPr/>
          <w:p>
            <w:pPr>
              <w:pStyle w:val="Compact"/>
              <w:jc w:val="left"/>
            </w:pPr>
            <w:r>
              <w:t xml:space="preserve">End-of-Life</w:t>
            </w:r>
          </w:p>
        </w:tc>
        <w:tc>
          <w:tcPr/>
          <w:p>
            <w:pPr>
              <w:pStyle w:val="Compact"/>
              <w:jc w:val="left"/>
            </w:pPr>
            <w:r>
              <w:t xml:space="preserve">Scope 3 (Category 12)</w:t>
            </w:r>
          </w:p>
        </w:tc>
        <w:tc>
          <w:tcPr/>
          <w:p>
            <w:pPr>
              <w:pStyle w:val="Compact"/>
              <w:jc w:val="left"/>
            </w:pPr>
            <w:r>
              <w:t xml:space="preserve">-2.42</w:t>
            </w:r>
          </w:p>
        </w:tc>
      </w:tr>
      <w:tr>
        <w:tc>
          <w:tcPr>
            <w:gridSpan w:val="2"/>
          </w:tcPr>
          <w:p>
            <w:pPr>
              <w:pStyle w:val="Compact"/>
              <w:jc w:val="left"/>
            </w:pPr>
            <w:r>
              <w:rPr>
                <w:bCs/>
                <w:b/>
              </w:rPr>
              <w:t xml:space="preserve">TOTAL PRODUCT CARBON FOOTPRINT (per 1.0 unit of ouhqiodsnu)</w:t>
            </w:r>
          </w:p>
        </w:tc>
        <w:tc>
          <w:tcPr/>
          <w:p>
            <w:pPr>
              <w:pStyle w:val="Compact"/>
              <w:jc w:val="left"/>
            </w:pPr>
            <w:r>
              <w:rPr>
                <w:bCs/>
                <w:b/>
              </w:rPr>
              <w:t xml:space="preserve">13.62 kgCO2e</w:t>
            </w:r>
          </w:p>
        </w:tc>
      </w:tr>
    </w:tbl>
    <w:p>
      <w:r>
        <w:pict>
          <v:rect style="width:0;height:1.5pt" o:hralign="center" o:hrstd="t" o:hr="t"/>
        </w:pict>
      </w:r>
    </w:p>
    <w:bookmarkEnd w:id="40"/>
    <w:bookmarkEnd w:id="41"/>
    <w:bookmarkStart w:id="45" w:name="step-5-review-report"/>
    <w:p>
      <w:pPr>
        <w:pStyle w:val="Heading2"/>
      </w:pPr>
      <w:r>
        <w:t xml:space="preserve">4. Step 5: Review &amp; Report</w:t>
      </w:r>
    </w:p>
    <w:bookmarkStart w:id="42" w:name="emission-hotspots-identification"/>
    <w:p>
      <w:pPr>
        <w:pStyle w:val="Heading3"/>
      </w:pPr>
      <w:r>
        <w:t xml:space="preserve">4.1. Emission Hotspots Identification</w:t>
      </w:r>
    </w:p>
    <w:p>
      <w:pPr>
        <w:pStyle w:val="FirstParagraph"/>
      </w:pPr>
      <w:r>
        <w:t xml:space="preserve">The analysis reveals the following major emission hotspots for \'ouhqiodsnu\':</w:t>
      </w:r>
    </w:p>
    <w:p>
      <w:pPr>
        <w:numPr>
          <w:ilvl w:val="0"/>
          <w:numId w:val="1016"/>
        </w:numPr>
        <w:pStyle w:val="Compact"/>
      </w:pPr>
      <w:r>
        <w:rPr>
          <w:bCs/>
          <w:b/>
        </w:rPr>
        <w:t xml:space="preserve">Raw Material Acquisition (Scope 3):</w:t>
      </w:r>
      <w:r>
        <w:t xml:space="preserve"> </w:t>
      </w:r>
      <w:r>
        <w:t xml:space="preserve">Representing the largest portion, materials contribute approximately 64.5% of the total positive emissions. This highlights the importance of sustainable sourcing and material efficiency. The Aluminum Casing (3.75 kgCO2e) and Printed Circuit Board (2.00 kgCO2e) are significant contributors within this category.</w:t>
      </w:r>
    </w:p>
    <w:p>
      <w:pPr>
        <w:numPr>
          <w:ilvl w:val="0"/>
          <w:numId w:val="1016"/>
        </w:numPr>
        <w:pStyle w:val="Compact"/>
      </w:pPr>
      <w:r>
        <w:rPr>
          <w:bCs/>
          <w:b/>
        </w:rPr>
        <w:t xml:space="preserve">Manufacturing Energy (Scope 2):</w:t>
      </w:r>
      <w:r>
        <w:t xml:space="preserve"> </w:t>
      </w:r>
      <w:r>
        <w:t xml:space="preserve">Purchased electricity for production accounts for approximately 27.5% of the total positive emissions, even with 60% renewable energy usage. Further decarbonization of the energy supply or efficiency improvements in manufacturing could yield significant reductions.</w:t>
      </w:r>
    </w:p>
    <w:p>
      <w:pPr>
        <w:numPr>
          <w:ilvl w:val="0"/>
          <w:numId w:val="1016"/>
        </w:numPr>
        <w:pStyle w:val="Compact"/>
      </w:pPr>
      <w:r>
        <w:rPr>
          <w:bCs/>
          <w:b/>
        </w:rPr>
        <w:t xml:space="preserve">Use Phase (Scope 3):</w:t>
      </w:r>
      <w:r>
        <w:t xml:space="preserve"> </w:t>
      </w:r>
      <w:r>
        <w:t xml:space="preserve">Energy consumption during the 7-year product lifespan contributes approximately 19.3% of the total positive emissions. Optimizing energy efficiency in the product\'s design and encouraging the use of renewable energy by end-users are key leverage points.</w:t>
      </w:r>
    </w:p>
    <w:p>
      <w:pPr>
        <w:numPr>
          <w:ilvl w:val="0"/>
          <w:numId w:val="1016"/>
        </w:numPr>
        <w:pStyle w:val="Compact"/>
      </w:pPr>
      <w:r>
        <w:rPr>
          <w:bCs/>
          <w:b/>
        </w:rPr>
        <w:t xml:space="preserve">End-of-Life (Scope 3):</w:t>
      </w:r>
      <w:r>
        <w:t xml:space="preserve"> </w:t>
      </w:r>
      <w:r>
        <w:t xml:space="preserve">The robust recyclability and existing take-back programs result in a significant net credit, demonstrating the positive impact of circular economy initiatives. This actively reduces the overall PCF.</w:t>
      </w:r>
    </w:p>
    <w:bookmarkEnd w:id="42"/>
    <w:bookmarkStart w:id="43" w:name="reliability-and-limitations"/>
    <w:p>
      <w:pPr>
        <w:pStyle w:val="Heading3"/>
      </w:pPr>
      <w:r>
        <w:t xml:space="preserve">4.2. Reliability and Limitations</w:t>
      </w:r>
    </w:p>
    <w:p>
      <w:pPr>
        <w:pStyle w:val="FirstParagraph"/>
      </w:pPr>
      <w:r>
        <w:t xml:space="preserve">The reliability of this PCF is considered good given the detailed input parameters provided. However, certain limitations inherent in any PCF study apply:</w:t>
      </w:r>
    </w:p>
    <w:p>
      <w:pPr>
        <w:numPr>
          <w:ilvl w:val="0"/>
          <w:numId w:val="1017"/>
        </w:numPr>
        <w:pStyle w:val="Compact"/>
      </w:pPr>
      <w:r>
        <w:rPr>
          <w:bCs/>
          <w:b/>
        </w:rPr>
        <w:t xml:space="preserve">Secondary Data Reliance:</w:t>
      </w:r>
      <w:r>
        <w:t xml:space="preserve"> </w:t>
      </w:r>
      <w:r>
        <w:t xml:space="preserve">While illustrative emission factors from reputable sources (Ecoinvent/DEFRA-like) were used, primary data directly from suppliers for all raw materials and manufacturing processes would enhance accuracy further.</w:t>
      </w:r>
    </w:p>
    <w:p>
      <w:pPr>
        <w:numPr>
          <w:ilvl w:val="0"/>
          <w:numId w:val="1017"/>
        </w:numPr>
        <w:pStyle w:val="Compact"/>
      </w:pPr>
      <w:r>
        <w:rPr>
          <w:bCs/>
          <w:b/>
        </w:rPr>
        <w:t xml:space="preserve">Geographic Specificity:</w:t>
      </w:r>
      <w:r>
        <w:t xml:space="preserve"> </w:t>
      </w:r>
      <w:r>
        <w:t xml:space="preserve">General European and Chinese grid mixes and transport factors were used. More granular, country-specific or even facility-specific data would refine the results.</w:t>
      </w:r>
    </w:p>
    <w:p>
      <w:pPr>
        <w:numPr>
          <w:ilvl w:val="0"/>
          <w:numId w:val="1017"/>
        </w:numPr>
        <w:pStyle w:val="Compact"/>
      </w:pPr>
      <w:r>
        <w:rPr>
          <w:bCs/>
          <w:b/>
        </w:rPr>
        <w:t xml:space="preserve">LSR Standard Integration:</w:t>
      </w:r>
      <w:r>
        <w:t xml:space="preserve"> </w:t>
      </w:r>
      <w:r>
        <w:t xml:space="preserve">While the 2026 LSR Standard is acknowledged, a full quantitative assessment of land use and removals requires specific data on land occupation and potential carbon leakage from the supply chain, which was not available for this high-level assessment.</w:t>
      </w:r>
    </w:p>
    <w:p>
      <w:pPr>
        <w:numPr>
          <w:ilvl w:val="0"/>
          <w:numId w:val="1017"/>
        </w:numPr>
        <w:pStyle w:val="Compact"/>
      </w:pPr>
      <w:r>
        <w:rPr>
          <w:bCs/>
          <w:b/>
        </w:rPr>
        <w:t xml:space="preserve">Dynamic System:</w:t>
      </w:r>
      <w:r>
        <w:t xml:space="preserve"> </w:t>
      </w:r>
      <w:r>
        <w:t xml:space="preserve">The environmental impact of electricity grids, transportation, and material production changes over time. This report reflects current best available illustrative data.</w:t>
      </w:r>
    </w:p>
    <w:bookmarkEnd w:id="43"/>
    <w:bookmarkStart w:id="44" w:name="recommendations"/>
    <w:p>
      <w:pPr>
        <w:pStyle w:val="Heading3"/>
      </w:pPr>
      <w:r>
        <w:t xml:space="preserve">4.3. Recommendations</w:t>
      </w:r>
    </w:p>
    <w:p>
      <w:pPr>
        <w:pStyle w:val="FirstParagraph"/>
      </w:pPr>
      <w:r>
        <w:t xml:space="preserve">Based on this analysis, \'oiojllwxow\' should consider the following actions to further reduce the carbon footprint of \'ouhqiodsnu\':</w:t>
      </w:r>
    </w:p>
    <w:p>
      <w:pPr>
        <w:numPr>
          <w:ilvl w:val="0"/>
          <w:numId w:val="1018"/>
        </w:numPr>
        <w:pStyle w:val="Compact"/>
      </w:pPr>
      <w:r>
        <w:rPr>
          <w:bCs/>
          <w:b/>
        </w:rPr>
        <w:t xml:space="preserve">Material Decarbonization:</w:t>
      </w:r>
      <w:r>
        <w:t xml:space="preserve"> </w:t>
      </w:r>
      <w:r>
        <w:t xml:space="preserve">Engage with key material suppliers (especially for aluminum and PCBs) to explore lower-carbon alternatives, increase recycled content, or optimize material usage.</w:t>
      </w:r>
    </w:p>
    <w:p>
      <w:pPr>
        <w:numPr>
          <w:ilvl w:val="0"/>
          <w:numId w:val="1018"/>
        </w:numPr>
        <w:pStyle w:val="Compact"/>
      </w:pPr>
      <w:r>
        <w:rPr>
          <w:bCs/>
          <w:b/>
        </w:rPr>
        <w:t xml:space="preserve">Manufacturing Efficiency:</w:t>
      </w:r>
      <w:r>
        <w:t xml:space="preserve"> </w:t>
      </w:r>
      <w:r>
        <w:t xml:space="preserve">Invest in energy-efficient manufacturing processes and explore opportunities to increase on-site renewable energy generation or procure certified green electricity beyond the current 60%.</w:t>
      </w:r>
    </w:p>
    <w:p>
      <w:pPr>
        <w:numPr>
          <w:ilvl w:val="0"/>
          <w:numId w:val="1018"/>
        </w:numPr>
        <w:pStyle w:val="Compact"/>
      </w:pPr>
      <w:r>
        <w:rPr>
          <w:bCs/>
          <w:b/>
        </w:rPr>
        <w:t xml:space="preserve">Product Design for Efficiency:</w:t>
      </w:r>
      <w:r>
        <w:t xml:space="preserve"> </w:t>
      </w:r>
      <w:r>
        <w:t xml:space="preserve">Innovate in product design to minimize energy consumption during the use phase.</w:t>
      </w:r>
    </w:p>
    <w:p>
      <w:pPr>
        <w:numPr>
          <w:ilvl w:val="0"/>
          <w:numId w:val="1018"/>
        </w:numPr>
        <w:pStyle w:val="Compact"/>
      </w:pPr>
      <w:r>
        <w:rPr>
          <w:bCs/>
          <w:b/>
        </w:rPr>
        <w:t xml:space="preserve">Expand Circularity:</w:t>
      </w:r>
      <w:r>
        <w:t xml:space="preserve"> </w:t>
      </w:r>
      <w:r>
        <w:t xml:space="preserve">Continue to invest in and expand the regional take-back programs and explore innovative circular business models to maximize material recovery and reuse.</w:t>
      </w:r>
    </w:p>
    <w:p>
      <w:pPr>
        <w:numPr>
          <w:ilvl w:val="0"/>
          <w:numId w:val="1018"/>
        </w:numPr>
        <w:pStyle w:val="Compact"/>
      </w:pPr>
      <w:r>
        <w:rPr>
          <w:bCs/>
          <w:b/>
        </w:rPr>
        <w:t xml:space="preserve">Data Granularity:</w:t>
      </w:r>
      <w:r>
        <w:t xml:space="preserve"> </w:t>
      </w:r>
      <w:r>
        <w:t xml:space="preserve">Prioritize the collection of primary activity data from critical suppliers for high-impact materials and processes to improve the accuracy and robustness of future PCF assessments and meet evolving Scope 3 disclosure requirements, including data disaggregation by source type.</w:t>
      </w:r>
    </w:p>
    <w:p>
      <w:r>
        <w:pict>
          <v:rect style="width:0;height:1.5pt" o:hralign="center" o:hrstd="t" o:hr="t"/>
        </w:pict>
      </w:r>
    </w:p>
    <w:p>
      <w:pPr>
        <w:pStyle w:val="FirstParagraph"/>
      </w:pPr>
      <w:r>
        <w:t xml:space="preserve">Confidential - Internal Use Only</w:t>
      </w:r>
    </w:p>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ouhqiodsnu</dc:title>
  <dc:creator/>
  <dc:description>High-detail Product Carbon Footprint (PCF) analysis for ouhqiodsnu, conducted by Senior Sustainability Consultant xpxexxsllr, adhering to GHG Protocol and 2026 LSR updates.</dc:description>
  <dc:language>en</dc:language>
  <cp:keywords/>
  <dcterms:created xsi:type="dcterms:W3CDTF">2026-07-15T13:34:00Z</dcterms:created>
  <dcterms:modified xsi:type="dcterms:W3CDTF">2026-07-15T13:34:00Z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