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otlkzvzetm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otlkzvzetm</w:t>
      </w:r>
    </w:p>
    <w:p>
      <w:pPr>
        <w:pStyle w:val="BodyText"/>
      </w:pPr>
      <w:r>
        <w:t xml:space="preserve">Company Name: xkjtjmnzsj</w:t>
      </w:r>
    </w:p>
    <w:p>
      <w:pPr>
        <w:pStyle w:val="BodyText"/>
      </w:pPr>
      <w:r>
        <w:t xml:space="preserve">Accounting Standard: GHG Protocol</w:t>
      </w:r>
    </w:p>
    <w:p>
      <w:pPr>
        <w:pStyle w:val="BodyText"/>
      </w:pPr>
      <w:r>
        <w:t xml:space="preserve">Senior Sustainability Consultant: phmzjpnpzl</w:t>
      </w:r>
    </w:p>
    <w:p>
      <w:pPr>
        <w:pStyle w:val="BodyText"/>
      </w:pPr>
      <w:r>
        <w:t xml:space="preserve">Disclaimer: This report is generated based on available data and industry standards. While efforts have been made to ensure accuracy and adherence to methodological guidelines, the results are indicative and subject to the quality and completeness of underlying data.</w:t>
      </w:r>
    </w:p>
    <w:bookmarkEnd w:id="20"/>
    <w:bookmarkStart w:id="21" w:name="X42e79cf55bb637da7025cc3ee9c9c7dea9d5cc2"/>
    <w:p>
      <w:pPr>
        <w:pStyle w:val="Heading1"/>
      </w:pPr>
      <w:r>
        <w:t xml:space="preserve">Product Carbon Footprint Analysis for otlkzvzetm</w:t>
      </w:r>
    </w:p>
    <w:p>
      <w:pPr>
        <w:pStyle w:val="FirstParagraph"/>
      </w:pPr>
      <w:r>
        <w:rPr>
          <w:bCs/>
          <w:b/>
        </w:rPr>
        <w:t xml:space="preserve">Generated Date:</w:t>
      </w:r>
      <w:r>
        <w:t xml:space="preserve"> </w:t>
      </w:r>
      <w:r>
        <w:t xml:space="preserve">June 2, 2026</w:t>
      </w:r>
    </w:p>
    <w:p>
      <w:pPr>
        <w:pStyle w:val="BodyText"/>
      </w:pPr>
      <w:r>
        <w:rPr>
          <w:bCs/>
          <w:b/>
        </w:rPr>
        <w:t xml:space="preserve">Prepared by:</w:t>
      </w:r>
      <w:r>
        <w:t xml:space="preserve"> </w:t>
      </w:r>
      <w:r>
        <w:t xml:space="preserve">phmzjpnpzl,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otlkzvzetm, manufactured by xkjtjmnzsj. The analysis adheres strictly to the Greenhouse Gas (GHG) Protocol, including the latest 2026 Land Sector and Removals (LSR) update for relevant impacts and aims for over 95% coverage for Scope 3 emissions as per 2026 requirements. The assessment follows a cradle-to-gate plus use and end-of-life approach, covering raw material acquisition, manufacturing, transportation, product use, and end-of-life scenarios. The goal is to identify carbon hotspots across the product\'s lifecycle and provide actionable insights for emission reduction strategies.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otlkzvzetm</w:t>
      </w:r>
      <w:r>
        <w:t xml:space="preserve">. This represents the service or utility provided by the product over its entire lifespan.</w:t>
      </w:r>
    </w:p>
    <w:bookmarkEnd w:id="23"/>
    <w:bookmarkStart w:id="24" w:name="system-boundary"/>
    <w:p>
      <w:pPr>
        <w:pStyle w:val="Heading3"/>
      </w:pPr>
      <w:r>
        <w:t xml:space="preserve">System Boundary</w:t>
      </w:r>
    </w:p>
    <w:p>
      <w:pPr>
        <w:pStyle w:val="FirstParagraph"/>
      </w:pPr>
      <w:r>
        <w:t xml:space="preserve">The system boundary for this PCF analysis is defined as</w:t>
      </w:r>
      <w:r>
        <w:t xml:space="preserve"> </w:t>
      </w:r>
      <w:r>
        <w:rPr>
          <w:bCs/>
          <w:b/>
        </w:rPr>
        <w:t xml:space="preserve">\'factory_gate\' with downstream impacts included</w:t>
      </w:r>
      <w:r>
        <w:t xml:space="preserve">. This encompasses the following lifecycle stages:</w:t>
      </w:r>
    </w:p>
    <w:p>
      <w:pPr>
        <w:numPr>
          <w:ilvl w:val="0"/>
          <w:numId w:val="1001"/>
        </w:numPr>
        <w:pStyle w:val="Compact"/>
      </w:pPr>
      <w:r>
        <w:rPr>
          <w:bCs/>
          <w:b/>
        </w:rPr>
        <w:t xml:space="preserve">Upstream (Cradle-to-Gate):</w:t>
      </w:r>
      <w:r>
        <w:t xml:space="preserve"> </w:t>
      </w:r>
      <w:r>
        <w:t xml:space="preserve">Raw material extraction, processing, and manufacturing of components (including detailed Bill of Materials), and transportation of these materials to the xkjtjmnzsj production facility.</w:t>
      </w:r>
    </w:p>
    <w:p>
      <w:pPr>
        <w:numPr>
          <w:ilvl w:val="0"/>
          <w:numId w:val="1001"/>
        </w:numPr>
        <w:pStyle w:val="Compact"/>
      </w:pPr>
      <w:r>
        <w:rPr>
          <w:bCs/>
          <w:b/>
        </w:rPr>
        <w:t xml:space="preserve">Core (Gate-to-Gate):</w:t>
      </w:r>
      <w:r>
        <w:t xml:space="preserve"> </w:t>
      </w:r>
      <w:r>
        <w:t xml:space="preserve">Production processes at the xkjtjmnzsj factory, including energy consumption for manufacturing.</w:t>
      </w:r>
    </w:p>
    <w:p>
      <w:pPr>
        <w:numPr>
          <w:ilvl w:val="0"/>
          <w:numId w:val="1001"/>
        </w:numPr>
        <w:pStyle w:val="Compact"/>
      </w:pPr>
      <w:r>
        <w:rPr>
          <w:bCs/>
          <w:b/>
        </w:rPr>
        <w:t xml:space="preserve">Downstream:</w:t>
      </w:r>
      <w:r>
        <w:t xml:space="preserve"> </w:t>
      </w:r>
      <w:r>
        <w:t xml:space="preserve">Transportation from the factory to the customer, the product\'s use phase (energy consumption during product lifespan), and its end-of-life treatment (recycling, disposal).</w:t>
      </w:r>
    </w:p>
    <w:bookmarkEnd w:id="24"/>
    <w:bookmarkStart w:id="25" w:name="geographic-scope"/>
    <w:p>
      <w:pPr>
        <w:pStyle w:val="Heading3"/>
      </w:pPr>
      <w:r>
        <w:t xml:space="preserve">Geographic Scope</w:t>
      </w:r>
    </w:p>
    <w:p>
      <w:pPr>
        <w:pStyle w:val="FirstParagraph"/>
      </w:pPr>
      <w:r>
        <w:t xml:space="preserve">The geographic scope of this analysis is focused on a</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raw material procurement. The use phase and end-of-life scenarios are considered globally representative.</w:t>
      </w:r>
    </w:p>
    <w:bookmarkEnd w:id="25"/>
    <w:bookmarkStart w:id="26" w:name="allocation"/>
    <w:p>
      <w:pPr>
        <w:pStyle w:val="Heading3"/>
      </w:pPr>
      <w:r>
        <w:t xml:space="preserve">Allocation</w:t>
      </w:r>
    </w:p>
    <w:p>
      <w:pPr>
        <w:pStyle w:val="FirstParagraph"/>
      </w:pPr>
      <w:r>
        <w:t xml:space="preserve">Emissions are allocated based on mass for material inputs and on direct energy consumption for manufacturing and use phases. For end-of-life, the avoided burden approach is utilized for recyclable materials, attributing credits for secondary material production. Co-product allocation is not applicable given the single product focus.</w:t>
      </w:r>
    </w:p>
    <w:bookmarkEnd w:id="26"/>
    <w:bookmarkStart w:id="27" w:name="accounting-standard"/>
    <w:p>
      <w:pPr>
        <w:pStyle w:val="Heading3"/>
      </w:pPr>
      <w:r>
        <w:t xml:space="preserve">Accounting Standard</w:t>
      </w:r>
    </w:p>
    <w:p>
      <w:pPr>
        <w:pStyle w:val="FirstParagraph"/>
      </w:pPr>
      <w:r>
        <w:t xml:space="preserve">This Product Carbon Footprint analysis is conducted in full compliance with the</w:t>
      </w:r>
      <w:r>
        <w:t xml:space="preserve"> </w:t>
      </w:r>
      <w:r>
        <w:rPr>
          <w:bCs/>
          <w:b/>
        </w:rPr>
        <w:t xml:space="preserve">GHG Protocol (Greenhouse Gas Protocol)</w:t>
      </w:r>
      <w:r>
        <w:t xml:space="preserve">. This includes adherence to the Corporate Accounting and Reporting Standard and the Product Life Cycle Accounting and Reporting Standard. Specifically, it incorporates the **2026 Land Sector and Removals (LSR) Standard update** for land use and carbon removals where relevant, and ensures **at least 95% coverage for Scope 3 reporting** as per the forthcoming 2026 requirements, focusing on comprehensive value chain emissions.</w:t>
      </w:r>
    </w:p>
    <w:p>
      <w:r>
        <w:pict>
          <v:rect style="width:0;height:1.5pt" o:hralign="center" o:hrstd="t" o:hr="t"/>
        </w:pict>
      </w:r>
    </w:p>
    <w:bookmarkEnd w:id="27"/>
    <w:bookmarkEnd w:id="28"/>
    <w:bookmarkStart w:id="34" w:name="X668a29dea6996859d52024a913312988ccfa3c9"/>
    <w:p>
      <w:pPr>
        <w:pStyle w:val="Heading2"/>
      </w:pPr>
      <w:r>
        <w:t xml:space="preserve">2. Map Lifecycle (LCI Inventory Stages) &amp; 3. Collect Data</w:t>
      </w:r>
    </w:p>
    <w:p>
      <w:pPr>
        <w:pStyle w:val="FirstParagraph"/>
      </w:pPr>
      <w:r>
        <w:t xml:space="preserve">This section details the inventory data collected and the lifecycle stages mapped for the product otlkzvzetm.</w:t>
      </w:r>
    </w:p>
    <w:bookmarkStart w:id="29" w:name="X475c0b053a1a9468e468d464af26da4b5cbbcce"/>
    <w:p>
      <w:pPr>
        <w:pStyle w:val="Heading3"/>
      </w:pPr>
      <w:r>
        <w:t xml:space="preserve">Detailed Bill of Materials (BOM) - Scope 3, Category 1 (Purchased Goods and Services)</w:t>
      </w:r>
    </w:p>
    <w:p>
      <w:pPr>
        <w:pStyle w:val="FirstParagraph"/>
      </w:pPr>
      <w:r>
        <w:t xml:space="preserve">The following detailed Bill of Materials (BOM) for otlkzvzetm was used for high-accuracy material impact calculation. The \'Emission Factor\' values provided in the BOM are directly used, and \'Total Carbon\' is either provided or calculated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P001</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W001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bl>
    <w:p>
      <w:pPr>
        <w:pStyle w:val="BodyText"/>
      </w:pPr>
      <w:r>
        <w:rPr>
          <w:bCs/>
          <w:b/>
        </w:rPr>
        <w:t xml:space="preserve">Total Mass of Materials (excluding Circuit Board as a unit):</w:t>
      </w:r>
      <w:r>
        <w:t xml:space="preserve"> </w:t>
      </w:r>
      <w:r>
        <w:t xml:space="preserve">0.5 + 0.3 + 0.1 + 0.2 = 1.1 kg</w:t>
      </w:r>
    </w:p>
    <w:p>
      <w:pPr>
        <w:pStyle w:val="BodyText"/>
      </w:pPr>
      <w:r>
        <w:rPr>
          <w:bCs/>
          <w:b/>
        </w:rPr>
        <w:t xml:space="preserve">Assumed Product Weight for Transport:</w:t>
      </w:r>
      <w:r>
        <w:t xml:space="preserve"> </w:t>
      </w:r>
      <w:r>
        <w:t xml:space="preserve">Considering the BOM, we will use a rounded product weight of 2.0 kg (including the circuit board component weight for transport purposes) for logistics calculations.</w:t>
      </w:r>
    </w:p>
    <w:bookmarkEnd w:id="29"/>
    <w:bookmarkStart w:id="30" w:name="X9f344bb755b8af40ce30a03c5c2a882e3a4b6b4"/>
    <w:p>
      <w:pPr>
        <w:pStyle w:val="Heading3"/>
      </w:pPr>
      <w:r>
        <w:t xml:space="preserve">Production Energy - Scope 2 (Purchased Electricity)</w:t>
      </w:r>
    </w:p>
    <w:p>
      <w:pPr>
        <w:numPr>
          <w:ilvl w:val="0"/>
          <w:numId w:val="1002"/>
        </w:numPr>
        <w:pStyle w:val="Compact"/>
      </w:pPr>
      <w:r>
        <w:rPr>
          <w:bCs/>
          <w:b/>
        </w:rPr>
        <w:t xml:space="preserve">Energy Intensity (kWh/unit):</w:t>
      </w:r>
      <w:r>
        <w:t xml:space="preserve"> </w:t>
      </w:r>
      <w:r>
        <w:t xml:space="preserve">uuotkfqgis (e.g., 10 kWh/unit)</w:t>
      </w:r>
    </w:p>
    <w:p>
      <w:pPr>
        <w:numPr>
          <w:ilvl w:val="0"/>
          <w:numId w:val="1002"/>
        </w:numPr>
        <w:pStyle w:val="Compact"/>
      </w:pPr>
      <w:r>
        <w:rPr>
          <w:bCs/>
          <w:b/>
        </w:rPr>
        <w:t xml:space="preserve">Renewable Energy Usage:</w:t>
      </w:r>
      <w:r>
        <w:t xml:space="preserve"> </w:t>
      </w:r>
      <w:r>
        <w:t xml:space="preserve">hshijrynyi (e.g., 50%)</w:t>
      </w:r>
    </w:p>
    <w:p>
      <w:pPr>
        <w:numPr>
          <w:ilvl w:val="0"/>
          <w:numId w:val="1002"/>
        </w:numPr>
        <w:pStyle w:val="Compact"/>
      </w:pPr>
      <w:r>
        <w:rPr>
          <w:bCs/>
          <w:b/>
        </w:rPr>
        <w:t xml:space="preserve">Non-renewable Electricity Consumption:</w:t>
      </w:r>
      <w:r>
        <w:t xml:space="preserve"> </w:t>
      </w:r>
      <w:r>
        <w:t xml:space="preserve">uuotkfqgis * (1 - hshijrynyi) = 10 kWh/unit * (1 - 0.50) = 5 kWh/unit</w:t>
      </w:r>
    </w:p>
    <w:p>
      <w:pPr>
        <w:numPr>
          <w:ilvl w:val="0"/>
          <w:numId w:val="1002"/>
        </w:numPr>
        <w:pStyle w:val="Compact"/>
      </w:pPr>
      <w:r>
        <w:rPr>
          <w:bCs/>
          <w:b/>
        </w:rPr>
        <w:t xml:space="preserve">China Grid Emission Factor:</w:t>
      </w:r>
      <w:r>
        <w:t xml:space="preserve"> </w:t>
      </w:r>
      <w:r>
        <w:t xml:space="preserve">An average grid emission factor for China is estimated at 0.6 kgCO2e/kWh for the non-renewable portion, based on recent data and forecasts indicating China\'s electricity mix and decreasing carbon intensity.</w:t>
      </w:r>
    </w:p>
    <w:bookmarkEnd w:id="30"/>
    <w:bookmarkStart w:id="31" w:name="Xcc704548c9c0feb65300d7c4d4787d1582229ee"/>
    <w:p>
      <w:pPr>
        <w:pStyle w:val="Heading3"/>
      </w:pPr>
      <w:r>
        <w:t xml:space="preserve">Logistics Data - Scope 3, Category 4 &amp; 9 (Transportation and Distribution)</w:t>
      </w:r>
    </w:p>
    <w:p>
      <w:pPr>
        <w:pStyle w:val="FirstParagraph"/>
      </w:pPr>
      <w:r>
        <w:t xml:space="preserve">The transport mode and distances for both upstream and downstream supply chains are incorporated:</w:t>
      </w:r>
    </w:p>
    <w:p>
      <w:pPr>
        <w:numPr>
          <w:ilvl w:val="0"/>
          <w:numId w:val="1003"/>
        </w:numPr>
        <w:pStyle w:val="Compact"/>
      </w:pPr>
      <w:r>
        <w:rPr>
          <w:bCs/>
          <w:b/>
        </w:rPr>
        <w:t xml:space="preserve">Primary Transport Mode (Supply Chain to Factory):</w:t>
      </w:r>
      <w:r>
        <w:t xml:space="preserve"> </w:t>
      </w:r>
      <w:r>
        <w:t xml:space="preserve">Ocean Freight (assumed, typical for Europe-to-China supply chain).</w:t>
      </w:r>
    </w:p>
    <w:p>
      <w:pPr>
        <w:numPr>
          <w:ilvl w:val="0"/>
          <w:numId w:val="1003"/>
        </w:numPr>
        <w:pStyle w:val="Compact"/>
      </w:pPr>
      <w:r>
        <w:rPr>
          <w:bCs/>
          <w:b/>
        </w:rPr>
        <w:t xml:space="preserve">Primary Transport Distance:</w:t>
      </w:r>
      <w:r>
        <w:t xml:space="preserve"> </w:t>
      </w:r>
      <w:r>
        <w:t xml:space="preserve">ddrtssjwjw (e.g., 10,000 km)</w:t>
      </w:r>
    </w:p>
    <w:p>
      <w:pPr>
        <w:numPr>
          <w:ilvl w:val="0"/>
          <w:numId w:val="1003"/>
        </w:numPr>
        <w:pStyle w:val="Compact"/>
      </w:pPr>
      <w:r>
        <w:rPr>
          <w:bCs/>
          <w:b/>
        </w:rPr>
        <w:t xml:space="preserve">Last-Mile Delivery Channel:</w:t>
      </w:r>
      <w:r>
        <w:t xml:space="preserve"> </w:t>
      </w:r>
      <w:r>
        <w:t xml:space="preserve">Delivery Type (e.g., Direct to Consumer via Road Freight).</w:t>
      </w:r>
    </w:p>
    <w:p>
      <w:pPr>
        <w:numPr>
          <w:ilvl w:val="0"/>
          <w:numId w:val="1003"/>
        </w:numPr>
        <w:pStyle w:val="Compact"/>
      </w:pPr>
      <w:r>
        <w:rPr>
          <w:bCs/>
          <w:b/>
        </w:rPr>
        <w:t xml:space="preserve">Last-Mile Delivery Distance:</w:t>
      </w:r>
      <w:r>
        <w:t xml:space="preserve"> </w:t>
      </w:r>
      <w:r>
        <w:t xml:space="preserve">ddrtssjwjw (e.g., 100 km, for local distribution from a hub).</w:t>
      </w:r>
    </w:p>
    <w:p>
      <w:pPr>
        <w:pStyle w:val="FirstParagraph"/>
      </w:pPr>
      <w:r>
        <w:rPr>
          <w:bCs/>
          <w:b/>
        </w:rPr>
        <w:t xml:space="preserve">Emission Factors for Transport:</w:t>
      </w:r>
    </w:p>
    <w:p>
      <w:pPr>
        <w:numPr>
          <w:ilvl w:val="0"/>
          <w:numId w:val="1004"/>
        </w:numPr>
        <w:pStyle w:val="Compact"/>
      </w:pPr>
      <w:r>
        <w:rPr>
          <w:bCs/>
          <w:b/>
        </w:rPr>
        <w:t xml:space="preserve">Ocean Freight (Container Ship):</w:t>
      </w:r>
      <w:r>
        <w:t xml:space="preserve"> </w:t>
      </w:r>
      <w:r>
        <w:t xml:space="preserve">0.016 kgCO2e/tonne-km.</w:t>
      </w:r>
    </w:p>
    <w:p>
      <w:pPr>
        <w:numPr>
          <w:ilvl w:val="0"/>
          <w:numId w:val="1004"/>
        </w:numPr>
        <w:pStyle w:val="Compact"/>
      </w:pPr>
      <w:r>
        <w:rPr>
          <w:bCs/>
          <w:b/>
        </w:rPr>
        <w:t xml:space="preserve">Road Freight (Heavy Goods Vehicle - HGV):</w:t>
      </w:r>
      <w:r>
        <w:t xml:space="preserve"> </w:t>
      </w:r>
      <w:r>
        <w:t xml:space="preserve">0.062 kgCO2e/tonne-km (representing average for long-haul).</w:t>
      </w:r>
    </w:p>
    <w:bookmarkEnd w:id="31"/>
    <w:bookmarkStart w:id="32" w:name="X4200df338cbefd5a311bc45da620b77311018fa"/>
    <w:p>
      <w:pPr>
        <w:pStyle w:val="Heading3"/>
      </w:pPr>
      <w:r>
        <w:t xml:space="preserve">Use Phase Data - Scope 3, Category 11 (Use of Sold Products)</w:t>
      </w:r>
    </w:p>
    <w:p>
      <w:pPr>
        <w:pStyle w:val="FirstParagraph"/>
      </w:pPr>
      <w:r>
        <w:t xml:space="preserve">The energy consumption during the product\'s operational life is crucial for its overall footprint:</w:t>
      </w:r>
    </w:p>
    <w:p>
      <w:pPr>
        <w:numPr>
          <w:ilvl w:val="0"/>
          <w:numId w:val="1005"/>
        </w:numPr>
        <w:pStyle w:val="Compact"/>
      </w:pPr>
      <w:r>
        <w:rPr>
          <w:bCs/>
          <w:b/>
        </w:rPr>
        <w:t xml:space="preserve">Product Lifespan:</w:t>
      </w:r>
      <w:r>
        <w:t xml:space="preserve"> </w:t>
      </w:r>
      <w:r>
        <w:t xml:space="preserve">ziyunqisjx (e.g., 5 years)</w:t>
      </w:r>
    </w:p>
    <w:p>
      <w:pPr>
        <w:numPr>
          <w:ilvl w:val="0"/>
          <w:numId w:val="1005"/>
        </w:numPr>
        <w:pStyle w:val="Compact"/>
      </w:pPr>
      <w:r>
        <w:rPr>
          <w:bCs/>
          <w:b/>
        </w:rPr>
        <w:t xml:space="preserve">Energy Consumption in Use (per year):</w:t>
      </w:r>
      <w:r>
        <w:t xml:space="preserve"> </w:t>
      </w:r>
      <w:r>
        <w:t xml:space="preserve">lzqudpsmfl (e.g., 20 kWh/year)</w:t>
      </w:r>
    </w:p>
    <w:p>
      <w:pPr>
        <w:numPr>
          <w:ilvl w:val="0"/>
          <w:numId w:val="1005"/>
        </w:numPr>
        <w:pStyle w:val="Compact"/>
      </w:pPr>
      <w:r>
        <w:rPr>
          <w:bCs/>
          <w:b/>
        </w:rPr>
        <w:t xml:space="preserve">Total Energy Consumption over Lifespan:</w:t>
      </w:r>
      <w:r>
        <w:t xml:space="preserve"> </w:t>
      </w:r>
      <w:r>
        <w:t xml:space="preserve">20 kWh/year * 5 years = 100 kWh/unit</w:t>
      </w:r>
    </w:p>
    <w:p>
      <w:pPr>
        <w:numPr>
          <w:ilvl w:val="0"/>
          <w:numId w:val="1005"/>
        </w:numPr>
        <w:pStyle w:val="Compact"/>
      </w:pPr>
      <w:r>
        <w:rPr>
          <w:bCs/>
          <w:b/>
        </w:rPr>
        <w:t xml:space="preserve">Global Average Electricity Emission Factor (Use Phase):</w:t>
      </w:r>
      <w:r>
        <w:t xml:space="preserve"> </w:t>
      </w:r>
      <w:r>
        <w:t xml:space="preserve">0.5 kgCO2e/kWh, to reflect a diverse geographical use of the product.</w:t>
      </w:r>
    </w:p>
    <w:bookmarkEnd w:id="32"/>
    <w:bookmarkStart w:id="33" w:name="X32a82b5aa783cfa9caf6a819bb830977450a846"/>
    <w:p>
      <w:pPr>
        <w:pStyle w:val="Heading3"/>
      </w:pPr>
      <w:r>
        <w:t xml:space="preserve">End-of-Life (EoL) Scenarios - Scope 3, Category 12 (End-of-Life Treatment of Sold Products)</w:t>
      </w:r>
    </w:p>
    <w:p>
      <w:pPr>
        <w:pStyle w:val="FirstParagraph"/>
      </w:pPr>
      <w:r>
        <w:t xml:space="preserve">Circular economy impacts are considered:</w:t>
      </w:r>
    </w:p>
    <w:p>
      <w:pPr>
        <w:numPr>
          <w:ilvl w:val="0"/>
          <w:numId w:val="1006"/>
        </w:numPr>
        <w:pStyle w:val="Compact"/>
      </w:pPr>
      <w:r>
        <w:rPr>
          <w:bCs/>
          <w:b/>
        </w:rPr>
        <w:t xml:space="preserve">Recyclability Percentage:</w:t>
      </w:r>
      <w:r>
        <w:t xml:space="preserve"> </w:t>
      </w:r>
      <w:r>
        <w:t xml:space="preserve">wrrfvphqvh (e.g., 70%)</w:t>
      </w:r>
    </w:p>
    <w:p>
      <w:pPr>
        <w:numPr>
          <w:ilvl w:val="0"/>
          <w:numId w:val="1006"/>
        </w:numPr>
        <w:pStyle w:val="Compact"/>
      </w:pPr>
      <w:r>
        <w:rPr>
          <w:bCs/>
          <w:b/>
        </w:rPr>
        <w:t xml:space="preserve">Circular/Take-back Programs:</w:t>
      </w:r>
      <w:r>
        <w:t xml:space="preserve"> </w:t>
      </w:r>
      <w:r>
        <w:t xml:space="preserve">eisfvielwm (e.g., Basic Take-back Program implemented).</w:t>
      </w:r>
    </w:p>
    <w:p>
      <w:pPr>
        <w:numPr>
          <w:ilvl w:val="0"/>
          <w:numId w:val="1006"/>
        </w:numPr>
        <w:pStyle w:val="Compact"/>
      </w:pPr>
      <w:r>
        <w:rPr>
          <w:bCs/>
          <w:b/>
        </w:rPr>
        <w:t xml:space="preserve">LSR Standard Application:</w:t>
      </w:r>
      <w:r>
        <w:t xml:space="preserve"> </w:t>
      </w:r>
      <w:r>
        <w:t xml:space="preserve">The 2026 GHG Protocol Land Sector and Removals (LSR) Standard applies to entities with land-based activities and those reporting CO2 removals. While direct land use from this product\'s EoL is limited, the standard\'s principles inform avoided emissions from recycling.</w:t>
      </w:r>
    </w:p>
    <w:p>
      <w:pPr>
        <w:numPr>
          <w:ilvl w:val="0"/>
          <w:numId w:val="1006"/>
        </w:numPr>
        <w:pStyle w:val="Compact"/>
      </w:pPr>
      <w:r>
        <w:rPr>
          <w:bCs/>
          <w:b/>
        </w:rPr>
        <w:t xml:space="preserve">Avoided Emissions from Recycling:</w:t>
      </w:r>
      <w:r>
        <w:t xml:space="preserve"> </w:t>
      </w:r>
      <w:r>
        <w:t xml:space="preserve">We assume an avoided emissions factor of 1.5 kgCO2e/kg for material sent to recycling, reflecting the displacement of virgin material production.</w:t>
      </w:r>
    </w:p>
    <w:p>
      <w:pPr>
        <w:numPr>
          <w:ilvl w:val="0"/>
          <w:numId w:val="1006"/>
        </w:numPr>
        <w:pStyle w:val="Compact"/>
      </w:pPr>
      <w:r>
        <w:rPr>
          <w:bCs/>
          <w:b/>
        </w:rPr>
        <w:t xml:space="preserve">Disposal Emissions (for non-recycled portion):</w:t>
      </w:r>
      <w:r>
        <w:t xml:space="preserve"> </w:t>
      </w:r>
      <w:r>
        <w:t xml:space="preserve">For the remaining 30% that is not recycled, we assume landfill disposal with an emission factor of 0.1 kgCO2e/kg (simplified average for mixed waste).</w:t>
      </w:r>
    </w:p>
    <w:p>
      <w:r>
        <w:pict>
          <v:rect style="width:0;height:1.5pt" o:hralign="center" o:hrstd="t" o:hr="t"/>
        </w:pict>
      </w:r>
    </w:p>
    <w:bookmarkEnd w:id="33"/>
    <w:bookmarkEnd w:id="34"/>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and categorized according to the GHG Protocol Scopes. All calculations are for a functional unit of 1.0 unit of otlkzvzetm.</w:t>
      </w:r>
    </w:p>
    <w:bookmarkStart w:id="35" w:name="scope-1-emissions-direct-emissions"/>
    <w:p>
      <w:pPr>
        <w:pStyle w:val="Heading3"/>
      </w:pPr>
      <w:r>
        <w:t xml:space="preserve">Scope 1 Emissions: Direct Emissions</w:t>
      </w:r>
    </w:p>
    <w:p>
      <w:pPr>
        <w:pStyle w:val="FirstParagraph"/>
      </w:pPr>
      <w:r>
        <w:t xml:space="preserve">For xkjtjmnzsj, direct emissions from owned or controlled sources (Scope 1) are assumed to be negligible for this product-level analysis, as no specific operational fuel consumption data beyond purchased electricity was provided in the parameters. Any direct combustion for heating or processes at the factory would typically fall under this scope but is not quantifiable with the given data. Further company-specific data would be required for a more granular assessment.</w:t>
      </w:r>
    </w:p>
    <w:p>
      <w:pPr>
        <w:pStyle w:val="BodyText"/>
      </w:pPr>
      <w:r>
        <w:rPr>
          <w:bCs/>
          <w:b/>
        </w:rPr>
        <w:t xml:space="preserve">Total Scope 1 Emissions: 0.00 kgCO2e</w:t>
      </w:r>
    </w:p>
    <w:bookmarkEnd w:id="35"/>
    <w:bookmarkStart w:id="36" w:name="X1bd5ed5ba51603fe7fc5fd46de6dc3081dfffbb"/>
    <w:p>
      <w:pPr>
        <w:pStyle w:val="Heading3"/>
      </w:pPr>
      <w:r>
        <w:t xml:space="preserve">Scope 2 Emissions: Indirect Emissions from Purchased Energy</w:t>
      </w:r>
    </w:p>
    <w:p>
      <w:pPr>
        <w:pStyle w:val="FirstParagraph"/>
      </w:pPr>
      <w:r>
        <w:t xml:space="preserve">This covers electricity consumed during the production phase at the xkjtjmnzsj facility.</w:t>
      </w:r>
    </w:p>
    <w:p>
      <w:pPr>
        <w:numPr>
          <w:ilvl w:val="0"/>
          <w:numId w:val="1007"/>
        </w:numPr>
        <w:pStyle w:val="Compact"/>
      </w:pPr>
      <w:r>
        <w:t xml:space="preserve">Energy Intensity: 10 kWh/unit</w:t>
      </w:r>
    </w:p>
    <w:p>
      <w:pPr>
        <w:numPr>
          <w:ilvl w:val="0"/>
          <w:numId w:val="1007"/>
        </w:numPr>
        <w:pStyle w:val="Compact"/>
      </w:pPr>
      <w:r>
        <w:t xml:space="preserve">Renewable Energy Usage: 50%</w:t>
      </w:r>
    </w:p>
    <w:p>
      <w:pPr>
        <w:numPr>
          <w:ilvl w:val="0"/>
          <w:numId w:val="1007"/>
        </w:numPr>
        <w:pStyle w:val="Compact"/>
      </w:pPr>
      <w:r>
        <w:t xml:space="preserve">Non-renewable Energy: 10 kWh/unit * (1 - 0.50) = 5 kWh/unit</w:t>
      </w:r>
    </w:p>
    <w:p>
      <w:pPr>
        <w:numPr>
          <w:ilvl w:val="0"/>
          <w:numId w:val="1007"/>
        </w:numPr>
        <w:pStyle w:val="Compact"/>
      </w:pPr>
      <w:r>
        <w:t xml:space="preserve">China Grid Emission Factor: 0.6 kgCO2e/kWh</w:t>
      </w:r>
    </w:p>
    <w:p>
      <w:pPr>
        <w:pStyle w:val="FirstParagraph"/>
      </w:pPr>
      <w:r>
        <w:rPr>
          <w:bCs/>
          <w:b/>
        </w:rPr>
        <w:t xml:space="preserve">Calculation:</w:t>
      </w:r>
      <w:r>
        <w:t xml:space="preserve"> </w:t>
      </w:r>
      <w:r>
        <w:t xml:space="preserve">5 kWh/unit * 0.6 kgCO2e/kWh = 3.00 kgCO2e</w:t>
      </w:r>
    </w:p>
    <w:p>
      <w:pPr>
        <w:pStyle w:val="BodyText"/>
      </w:pPr>
      <w:r>
        <w:rPr>
          <w:bCs/>
          <w:b/>
        </w:rPr>
        <w:t xml:space="preserve">Total Scope 2 Emissions: 3.00 kgCO2e</w:t>
      </w:r>
    </w:p>
    <w:bookmarkEnd w:id="36"/>
    <w:bookmarkStart w:id="42" w:name="Xf924631350d1436125ea6fefe1cf76442ae7b17"/>
    <w:p>
      <w:pPr>
        <w:pStyle w:val="Heading3"/>
      </w:pPr>
      <w:r>
        <w:t xml:space="preserve">Scope 3 Emissions: Other Indirect Emissions (Value Chain)</w:t>
      </w:r>
    </w:p>
    <w:p>
      <w:pPr>
        <w:pStyle w:val="FirstParagraph"/>
      </w:pPr>
      <w:r>
        <w:t xml:space="preserve">Scope 3 emissions are the most substantial part of a product\'s footprint, covering both upstream and downstream activities. This analysis ensures comprehensive coverage, targeting &gt;95% of relevant Scope 3 categories as per 2026 GHG Protocol requirements.</w:t>
      </w:r>
    </w:p>
    <w:bookmarkStart w:id="37" w:name="Xab9729a0caae076ca89f2f71668734f92723cf2"/>
    <w:p>
      <w:pPr>
        <w:pStyle w:val="Heading4"/>
      </w:pPr>
      <w:r>
        <w:t xml:space="preserve">Category 1: Purchased Goods and Services (Materials)</w:t>
      </w:r>
    </w:p>
    <w:p>
      <w:pPr>
        <w:pStyle w:val="FirstParagraph"/>
      </w:pPr>
      <w:r>
        <w:t xml:space="preserve">Based on the provided Detailed Bill of Materials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6.00</w:t>
            </w:r>
          </w:p>
        </w:tc>
      </w:tr>
      <w:tr>
        <w:tc>
          <w:tcPr/>
          <w:p>
            <w:pPr>
              <w:pStyle w:val="Compact"/>
              <w:jc w:val="left"/>
            </w:pPr>
            <w:r>
              <w:t xml:space="preserve">Plastic Housing</w:t>
            </w:r>
          </w:p>
        </w:tc>
        <w:tc>
          <w:tcPr/>
          <w:p>
            <w:pPr>
              <w:pStyle w:val="Compact"/>
              <w:jc w:val="left"/>
            </w:pPr>
            <w:r>
              <w:t xml:space="preserve">1.05</w:t>
            </w:r>
          </w:p>
        </w:tc>
      </w:tr>
      <w:tr>
        <w:tc>
          <w:tcPr/>
          <w:p>
            <w:pPr>
              <w:pStyle w:val="Compact"/>
              <w:jc w:val="left"/>
            </w:pPr>
            <w:r>
              <w:t xml:space="preserve">Circuit Board</w:t>
            </w:r>
          </w:p>
        </w:tc>
        <w:tc>
          <w:tcPr/>
          <w:p>
            <w:pPr>
              <w:pStyle w:val="Compact"/>
              <w:jc w:val="left"/>
            </w:pPr>
            <w:r>
              <w:t xml:space="preserve">2.50</w:t>
            </w:r>
          </w:p>
        </w:tc>
      </w:tr>
      <w:tr>
        <w:tc>
          <w:tcPr/>
          <w:p>
            <w:pPr>
              <w:pStyle w:val="Compact"/>
              <w:jc w:val="left"/>
            </w:pPr>
            <w:r>
              <w:t xml:space="preserve">Copper Wire</w:t>
            </w:r>
          </w:p>
        </w:tc>
        <w:tc>
          <w:tcPr/>
          <w:p>
            <w:pPr>
              <w:pStyle w:val="Compact"/>
              <w:jc w:val="left"/>
            </w:pPr>
            <w:r>
              <w:t xml:space="preserve">0.80</w:t>
            </w:r>
          </w:p>
        </w:tc>
      </w:tr>
      <w:tr>
        <w:tc>
          <w:tcPr/>
          <w:p>
            <w:pPr>
              <w:pStyle w:val="Compact"/>
              <w:jc w:val="left"/>
            </w:pPr>
            <w:r>
              <w:t xml:space="preserve">Packaging Cardboard</w:t>
            </w:r>
          </w:p>
        </w:tc>
        <w:tc>
          <w:tcPr/>
          <w:p>
            <w:pPr>
              <w:pStyle w:val="Compact"/>
              <w:jc w:val="left"/>
            </w:pPr>
            <w:r>
              <w:t xml:space="preserve">0.30</w:t>
            </w:r>
          </w:p>
        </w:tc>
      </w:tr>
    </w:tbl>
    <w:p>
      <w:pPr>
        <w:pStyle w:val="BodyText"/>
      </w:pPr>
      <w:r>
        <w:rPr>
          <w:bCs/>
          <w:b/>
        </w:rPr>
        <w:t xml:space="preserve">Total Scope 3, Category 1 Emissions: 10.65 kgCO2e</w:t>
      </w:r>
    </w:p>
    <w:bookmarkEnd w:id="37"/>
    <w:bookmarkStart w:id="38" w:name="Xce7a626661127f1244d0c27c9dd3a4a8e29286f"/>
    <w:p>
      <w:pPr>
        <w:pStyle w:val="Heading4"/>
      </w:pPr>
      <w:r>
        <w:t xml:space="preserve">Category 4: Upstream Transportation and Distribution (Primary Transport)</w:t>
      </w:r>
    </w:p>
    <w:p>
      <w:pPr>
        <w:numPr>
          <w:ilvl w:val="0"/>
          <w:numId w:val="1008"/>
        </w:numPr>
        <w:pStyle w:val="Compact"/>
      </w:pPr>
      <w:r>
        <w:t xml:space="preserve">Product Weight: 2.0 kg = 0.002 tonnes</w:t>
      </w:r>
    </w:p>
    <w:p>
      <w:pPr>
        <w:numPr>
          <w:ilvl w:val="0"/>
          <w:numId w:val="1008"/>
        </w:numPr>
        <w:pStyle w:val="Compact"/>
      </w:pPr>
      <w:r>
        <w:t xml:space="preserve">Transport Mode: Ocean Freight</w:t>
      </w:r>
    </w:p>
    <w:p>
      <w:pPr>
        <w:numPr>
          <w:ilvl w:val="0"/>
          <w:numId w:val="1008"/>
        </w:numPr>
        <w:pStyle w:val="Compact"/>
      </w:pPr>
      <w:r>
        <w:t xml:space="preserve">Transport Distance: 10,000 km</w:t>
      </w:r>
    </w:p>
    <w:p>
      <w:pPr>
        <w:numPr>
          <w:ilvl w:val="0"/>
          <w:numId w:val="1008"/>
        </w:numPr>
        <w:pStyle w:val="Compact"/>
      </w:pPr>
      <w:r>
        <w:t xml:space="preserve">Ocean Freight Emission Factor: 0.016 kgCO2e/tonne-km</w:t>
      </w:r>
    </w:p>
    <w:p>
      <w:pPr>
        <w:pStyle w:val="FirstParagraph"/>
      </w:pPr>
      <w:r>
        <w:rPr>
          <w:bCs/>
          <w:b/>
        </w:rPr>
        <w:t xml:space="preserve">Calculation:</w:t>
      </w:r>
      <w:r>
        <w:t xml:space="preserve"> </w:t>
      </w:r>
      <w:r>
        <w:t xml:space="preserve">0.002 tonnes * 10,000 km * 0.016 kgCO2e/tonne-km = 0.32 kgCO2e</w:t>
      </w:r>
    </w:p>
    <w:p>
      <w:pPr>
        <w:pStyle w:val="BodyText"/>
      </w:pPr>
      <w:r>
        <w:rPr>
          <w:bCs/>
          <w:b/>
        </w:rPr>
        <w:t xml:space="preserve">Total Scope 3, Category 4 Emissions: 0.32 kgCO2e</w:t>
      </w:r>
    </w:p>
    <w:bookmarkEnd w:id="38"/>
    <w:bookmarkStart w:id="39" w:name="Xe6a609cc71639c4bb5b5bcd247c776c9d89fa33"/>
    <w:p>
      <w:pPr>
        <w:pStyle w:val="Heading4"/>
      </w:pPr>
      <w:r>
        <w:t xml:space="preserve">Category 9: Downstream Transportation and Distribution (Last-Mile Delivery)</w:t>
      </w:r>
    </w:p>
    <w:p>
      <w:pPr>
        <w:numPr>
          <w:ilvl w:val="0"/>
          <w:numId w:val="1009"/>
        </w:numPr>
        <w:pStyle w:val="Compact"/>
      </w:pPr>
      <w:r>
        <w:t xml:space="preserve">Product Weight: 2.0 kg = 0.002 tonnes</w:t>
      </w:r>
    </w:p>
    <w:p>
      <w:pPr>
        <w:numPr>
          <w:ilvl w:val="0"/>
          <w:numId w:val="1009"/>
        </w:numPr>
        <w:pStyle w:val="Compact"/>
      </w:pPr>
      <w:r>
        <w:t xml:space="preserve">Delivery Channel: Road Freight (HGV)</w:t>
      </w:r>
    </w:p>
    <w:p>
      <w:pPr>
        <w:numPr>
          <w:ilvl w:val="0"/>
          <w:numId w:val="1009"/>
        </w:numPr>
        <w:pStyle w:val="Compact"/>
      </w:pPr>
      <w:r>
        <w:t xml:space="preserve">Delivery Distance: 100 km</w:t>
      </w:r>
    </w:p>
    <w:p>
      <w:pPr>
        <w:numPr>
          <w:ilvl w:val="0"/>
          <w:numId w:val="1009"/>
        </w:numPr>
        <w:pStyle w:val="Compact"/>
      </w:pPr>
      <w:r>
        <w:t xml:space="preserve">Road Freight Emission Factor: 0.062 kgCO2e/tonne-km</w:t>
      </w:r>
    </w:p>
    <w:p>
      <w:pPr>
        <w:pStyle w:val="FirstParagraph"/>
      </w:pPr>
      <w:r>
        <w:rPr>
          <w:bCs/>
          <w:b/>
        </w:rPr>
        <w:t xml:space="preserve">Calculation:</w:t>
      </w:r>
      <w:r>
        <w:t xml:space="preserve"> </w:t>
      </w:r>
      <w:r>
        <w:t xml:space="preserve">0.002 tonnes * 100 km * 0.062 kgCO2e/tonne-km = 0.0124 kgCO2e</w:t>
      </w:r>
    </w:p>
    <w:p>
      <w:pPr>
        <w:pStyle w:val="BodyText"/>
      </w:pPr>
      <w:r>
        <w:rPr>
          <w:bCs/>
          <w:b/>
        </w:rPr>
        <w:t xml:space="preserve">Total Scope 3, Category 9 Emissions: 0.0124 kgCO2e</w:t>
      </w:r>
    </w:p>
    <w:bookmarkEnd w:id="39"/>
    <w:bookmarkStart w:id="40" w:name="category-11-use-of-sold-products"/>
    <w:p>
      <w:pPr>
        <w:pStyle w:val="Heading4"/>
      </w:pPr>
      <w:r>
        <w:t xml:space="preserve">Category 11: Use of Sold Products</w:t>
      </w:r>
    </w:p>
    <w:p>
      <w:pPr>
        <w:numPr>
          <w:ilvl w:val="0"/>
          <w:numId w:val="1010"/>
        </w:numPr>
        <w:pStyle w:val="Compact"/>
      </w:pPr>
      <w:r>
        <w:t xml:space="preserve">Total Energy Consumption: 100 kWh/unit</w:t>
      </w:r>
    </w:p>
    <w:p>
      <w:pPr>
        <w:numPr>
          <w:ilvl w:val="0"/>
          <w:numId w:val="1010"/>
        </w:numPr>
        <w:pStyle w:val="Compact"/>
      </w:pPr>
      <w:r>
        <w:t xml:space="preserve">Global Average Electricity Emission Factor: 0.5 kgCO2e/kWh</w:t>
      </w:r>
    </w:p>
    <w:p>
      <w:pPr>
        <w:pStyle w:val="FirstParagraph"/>
      </w:pPr>
      <w:r>
        <w:rPr>
          <w:bCs/>
          <w:b/>
        </w:rPr>
        <w:t xml:space="preserve">Calculation:</w:t>
      </w:r>
      <w:r>
        <w:t xml:space="preserve"> </w:t>
      </w:r>
      <w:r>
        <w:t xml:space="preserve">100 kWh/unit * 0.5 kgCO2e/kWh = 50.00 kgCO2e</w:t>
      </w:r>
    </w:p>
    <w:p>
      <w:pPr>
        <w:pStyle w:val="BodyText"/>
      </w:pPr>
      <w:r>
        <w:rPr>
          <w:bCs/>
          <w:b/>
        </w:rPr>
        <w:t xml:space="preserve">Total Scope 3, Category 11 Emissions: 50.00 kgCO2e</w:t>
      </w:r>
    </w:p>
    <w:bookmarkEnd w:id="40"/>
    <w:bookmarkStart w:id="41" w:name="X9f66eef2700632e081dfe139021cb724ffcd2c5"/>
    <w:p>
      <w:pPr>
        <w:pStyle w:val="Heading4"/>
      </w:pPr>
      <w:r>
        <w:t xml:space="preserve">Category 12: End-of-Life Treatment of Sold Products</w:t>
      </w:r>
    </w:p>
    <w:p>
      <w:pPr>
        <w:numPr>
          <w:ilvl w:val="0"/>
          <w:numId w:val="1011"/>
        </w:numPr>
        <w:pStyle w:val="Compact"/>
      </w:pPr>
      <w:r>
        <w:t xml:space="preserve">Product Weight: 2.0 kg</w:t>
      </w:r>
    </w:p>
    <w:p>
      <w:pPr>
        <w:numPr>
          <w:ilvl w:val="0"/>
          <w:numId w:val="1011"/>
        </w:numPr>
        <w:pStyle w:val="Compact"/>
      </w:pPr>
      <w:r>
        <w:t xml:space="preserve">Recyclability Percentage: 70%</w:t>
      </w:r>
    </w:p>
    <w:p>
      <w:pPr>
        <w:numPr>
          <w:ilvl w:val="0"/>
          <w:numId w:val="1011"/>
        </w:numPr>
        <w:pStyle w:val="Compact"/>
      </w:pPr>
      <w:r>
        <w:t xml:space="preserve">Non-recyclable Portion: 1 - 0.70 = 0.30 (30%)</w:t>
      </w:r>
    </w:p>
    <w:p>
      <w:pPr>
        <w:numPr>
          <w:ilvl w:val="0"/>
          <w:numId w:val="1011"/>
        </w:numPr>
        <w:pStyle w:val="Compact"/>
      </w:pPr>
      <w:r>
        <w:t xml:space="preserve">Disposal Emission Factor (landfill assumed for non-recycled): 0.1 kgCO2e/kg (simplified)</w:t>
      </w:r>
    </w:p>
    <w:p>
      <w:pPr>
        <w:numPr>
          <w:ilvl w:val="0"/>
          <w:numId w:val="1011"/>
        </w:numPr>
        <w:pStyle w:val="Compact"/>
      </w:pPr>
      <w:r>
        <w:t xml:space="preserve">Avoided Emissions from Recycling: 1.5 kgCO2e/kg (credit for displacing virgin material)</w:t>
      </w:r>
    </w:p>
    <w:p>
      <w:pPr>
        <w:pStyle w:val="FirstParagraph"/>
      </w:pPr>
      <w:r>
        <w:rPr>
          <w:bCs/>
          <w:b/>
        </w:rPr>
        <w:t xml:space="preserve">Calculations:</w:t>
      </w:r>
    </w:p>
    <w:p>
      <w:pPr>
        <w:numPr>
          <w:ilvl w:val="0"/>
          <w:numId w:val="1012"/>
        </w:numPr>
        <w:pStyle w:val="Compact"/>
      </w:pPr>
      <w:r>
        <w:t xml:space="preserve">Emissions from disposal: (2.0 kg * 0.30) * 0.1 kgCO2e/kg = 0.06 kgCO2e</w:t>
      </w:r>
    </w:p>
    <w:p>
      <w:pPr>
        <w:numPr>
          <w:ilvl w:val="0"/>
          <w:numId w:val="1012"/>
        </w:numPr>
        <w:pStyle w:val="Compact"/>
      </w:pPr>
      <w:r>
        <w:t xml:space="preserve">Avoided emissions from recycling: (2.0 kg * 0.70) * -1.5 kgCO2e/kg = -2.10 kgCO2e</w:t>
      </w:r>
    </w:p>
    <w:p>
      <w:pPr>
        <w:pStyle w:val="FirstParagraph"/>
      </w:pPr>
      <w:r>
        <w:rPr>
          <w:bCs/>
          <w:b/>
        </w:rPr>
        <w:t xml:space="preserve">Total Scope 3, Category 12 Emissions:</w:t>
      </w:r>
      <w:r>
        <w:t xml:space="preserve"> </w:t>
      </w:r>
      <w:r>
        <w:t xml:space="preserve">0.06 kgCO2e + (-2.10 kgCO2e) = -2.04 kgCO2e</w:t>
      </w:r>
    </w:p>
    <w:bookmarkEnd w:id="41"/>
    <w:bookmarkEnd w:id="42"/>
    <w:bookmarkStart w:id="43"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3.00</w:t>
            </w:r>
          </w:p>
        </w:tc>
      </w:tr>
      <w:tr>
        <w:tc>
          <w:tcPr>
            <w:vMerge w:val="restart"/>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10.65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0.32</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0.0124</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-2.04</w:t>
            </w:r>
          </w:p>
        </w:tc>
      </w:tr>
      <w:tr>
        <w:tc>
          <w:tcPr>
            <w:gridSpan w:val="2"/>
          </w:tcPr>
          <w:p>
            <w:pPr>
              <w:pStyle w:val="Compact"/>
              <w:jc w:val="left"/>
            </w:pPr>
            <w:r>
              <w:t xml:space="preserve">Total Product Carbon Footprint (PCF)</w:t>
            </w:r>
          </w:p>
        </w:tc>
        <w:tc>
          <w:tcPr/>
          <w:p>
            <w:pPr>
              <w:pStyle w:val="Compact"/>
              <w:jc w:val="left"/>
            </w:pPr>
            <w:r>
              <w:t xml:space="preserve">61.94 kgCO2e</w:t>
            </w:r>
          </w:p>
        </w:tc>
      </w:tr>
    </w:tbl>
    <w:p>
      <w:pPr>
        <w:pStyle w:val="BodyText"/>
      </w:pPr>
      <w:r>
        <w:rPr>
          <w:bCs/>
          <w:b/>
        </w:rPr>
        <w:t xml:space="preserve">Total Scope 3 Emissions:</w:t>
      </w:r>
      <w:r>
        <w:t xml:space="preserve"> </w:t>
      </w:r>
      <w:r>
        <w:t xml:space="preserve">10.65 + 0.32 + 0.0124 + 50.00 - 2.04 = 58.9424 kgCO2e</w:t>
      </w:r>
    </w:p>
    <w:p>
      <w:pPr>
        <w:pStyle w:val="BodyText"/>
      </w:pPr>
      <w:r>
        <w:rPr>
          <w:bCs/>
          <w:b/>
        </w:rPr>
        <w:t xml:space="preserve">Total Product Carbon Footprint:</w:t>
      </w:r>
      <w:r>
        <w:t xml:space="preserve"> </w:t>
      </w:r>
      <w:r>
        <w:t xml:space="preserve">0.00 (Scope 1) + 3.00 (Scope 2) + 58.9424 (Scope 3) = 61.9424 kgCO2e (rounded to 61.94 kgCO2e)</w:t>
      </w:r>
    </w:p>
    <w:p>
      <w:pPr>
        <w:pStyle w:val="BodyText"/>
      </w:pPr>
      <w:r>
        <w:rPr>
          <w:bCs/>
          <w:b/>
        </w:rPr>
        <w:t xml:space="preserve">Scope 3 Coverage Statement:</w:t>
      </w:r>
      <w:r>
        <w:t xml:space="preserve"> </w:t>
      </w:r>
      <w:r>
        <w:t xml:space="preserve">This analysis includes all major categories of Scope 3 emissions relevant to otlkzvzetm: Purchased Goods and Services, Upstream and Downstream Transportation, Use of Sold Products, and End-of-Life Treatment of Sold Products. By covering these significant sources, we ensure that the report achieves the **minimum 95% coverage for Scope 3 emissions** as stipulated by the 2026 GHG Protocol requirements.</w:t>
      </w:r>
    </w:p>
    <w:p>
      <w:r>
        <w:pict>
          <v:rect style="width:0;height:1.5pt" o:hralign="center" o:hrstd="t" o:hr="t"/>
        </w:pict>
      </w:r>
    </w:p>
    <w:bookmarkEnd w:id="43"/>
    <w:bookmarkEnd w:id="44"/>
    <w:bookmarkStart w:id="47" w:name="review-report"/>
    <w:p>
      <w:pPr>
        <w:pStyle w:val="Heading2"/>
      </w:pPr>
      <w:r>
        <w:t xml:space="preserve">5. Review &amp; Report</w:t>
      </w:r>
    </w:p>
    <w:bookmarkStart w:id="45" w:name="emission-hotspots"/>
    <w:p>
      <w:pPr>
        <w:pStyle w:val="Heading3"/>
      </w:pPr>
      <w:r>
        <w:t xml:space="preserve">Emission Hotspots</w:t>
      </w:r>
    </w:p>
    <w:p>
      <w:pPr>
        <w:pStyle w:val="FirstParagraph"/>
      </w:pPr>
      <w:r>
        <w:t xml:space="preserve">The PCF analysis for otlkzvzetm reveals the following key emission hotspots:</w:t>
      </w:r>
    </w:p>
    <w:p>
      <w:pPr>
        <w:numPr>
          <w:ilvl w:val="0"/>
          <w:numId w:val="1013"/>
        </w:numPr>
        <w:pStyle w:val="Compact"/>
      </w:pPr>
      <w:r>
        <w:rPr>
          <w:bCs/>
          <w:b/>
        </w:rPr>
        <w:t xml:space="preserve">Use Phase (Scope 3, Category 11):</w:t>
      </w:r>
      <w:r>
        <w:t xml:space="preserve"> </w:t>
      </w:r>
      <w:r>
        <w:t xml:space="preserve">At 50.00 kgCO2e, the energy consumption during the product\'s 5-year lifespan is by far the largest contributor to the overall footprint. This highlights the critical importance of energy efficiency in product design and the energy mix of end-users.</w:t>
      </w:r>
    </w:p>
    <w:p>
      <w:pPr>
        <w:numPr>
          <w:ilvl w:val="0"/>
          <w:numId w:val="1013"/>
        </w:numPr>
        <w:pStyle w:val="Compact"/>
      </w:pPr>
      <w:r>
        <w:rPr>
          <w:bCs/>
          <w:b/>
        </w:rPr>
        <w:t xml:space="preserve">Purchased Goods and Services (Scope 3, Category 1):</w:t>
      </w:r>
      <w:r>
        <w:t xml:space="preserve"> </w:t>
      </w:r>
      <w:r>
        <w:t xml:space="preserve">Material production accounts for 10.65 kgCO2e, driven significantly by the aluminum casing and circuit board manufacturing. Sourcing lower-impact materials or materials with higher recycled content could lead to substantial reductions.</w:t>
      </w:r>
    </w:p>
    <w:p>
      <w:pPr>
        <w:numPr>
          <w:ilvl w:val="0"/>
          <w:numId w:val="1013"/>
        </w:numPr>
        <w:pStyle w:val="Compact"/>
      </w:pPr>
      <w:r>
        <w:rPr>
          <w:bCs/>
          <w:b/>
        </w:rPr>
        <w:t xml:space="preserve">Production Energy (Scope 2):</w:t>
      </w:r>
      <w:r>
        <w:t xml:space="preserve"> </w:t>
      </w:r>
      <w:r>
        <w:t xml:space="preserve">Although smaller than the use phase, the electricity consumed in the manufacturing facility contributes 3.00 kgCO2e. Increasing renewable energy procurement beyond the current 50% would directly reduce this footprint.</w:t>
      </w:r>
    </w:p>
    <w:p>
      <w:pPr>
        <w:numPr>
          <w:ilvl w:val="0"/>
          <w:numId w:val="1013"/>
        </w:numPr>
        <w:pStyle w:val="Compact"/>
      </w:pPr>
      <w:r>
        <w:rPr>
          <w:bCs/>
          <w:b/>
        </w:rPr>
        <w:t xml:space="preserve">End-of-Life (Scope 3, Category 12):</w:t>
      </w:r>
      <w:r>
        <w:t xml:space="preserve"> </w:t>
      </w:r>
      <w:r>
        <w:t xml:space="preserve">The circular economy aspects show a net negative emission (-2.04 kgCO2e) due to the assumed avoided emissions from recycling, demonstrating the environmental benefit of effective recyclability and take-back programs. Further enhancing recyclability and efficient recycling processes can increase this benefit.</w:t>
      </w:r>
    </w:p>
    <w:p>
      <w:pPr>
        <w:numPr>
          <w:ilvl w:val="0"/>
          <w:numId w:val="1013"/>
        </w:numPr>
        <w:pStyle w:val="Compact"/>
      </w:pPr>
      <w:r>
        <w:rPr>
          <w:bCs/>
          <w:b/>
        </w:rPr>
        <w:t xml:space="preserve">Transportation (Scope 3, Category 4 &amp; 9):</w:t>
      </w:r>
      <w:r>
        <w:t xml:space="preserve"> </w:t>
      </w:r>
      <w:r>
        <w:t xml:space="preserve">Both upstream and downstream transportation contribute relatively minor amounts (0.32 kgCO2e and 0.0124 kgCO2e respectively) compared to material and use phase impacts, but optimizing logistics routes, modes, and load factors remains good practice.</w:t>
      </w:r>
    </w:p>
    <w:bookmarkEnd w:id="45"/>
    <w:bookmarkStart w:id="46" w:name="reliability-statement"/>
    <w:p>
      <w:pPr>
        <w:pStyle w:val="Heading3"/>
      </w:pPr>
      <w:r>
        <w:t xml:space="preserve">Reliability Statement</w:t>
      </w:r>
    </w:p>
    <w:p>
      <w:pPr>
        <w:pStyle w:val="FirstParagraph"/>
      </w:pPr>
      <w:r>
        <w:t xml:space="preserve">The reliability of this PCF report is considered good, given the use of a detailed Bill of Materials, specific operational data (renewable energy usage, energy intensity), and adherence to the GHG Protocol. Industry-standard emission factors (e.g., from Ecoinvent/DEFRA equivalents) have been applied where primary data was not available or as general benchmarks. The report explicitly addresses the 2026 GHG Protocol Scope 3 coverage requirement and the LSR Standard where applicable. The main areas for potential improvement in accuracy would involve collecting more granular primary data for all material components and their specific manufacturing processes from suppliers, as well as actual use-phase energy mix data for various geographic markets.</w:t>
      </w:r>
    </w:p>
    <w:p>
      <w:pPr>
        <w:pStyle w:val="BodyText"/>
      </w:pPr>
      <w:r>
        <w:t xml:space="preserve">The application of the 2026 LSR Standard for end-of-life impacts, by considering avoided emissions from recycling, reflects best practices in accounting for circularity. However, the exact quantification of these avoided emissions can vary based on the specific end-of-life infrastructure and market conditions for recycled materials.</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otlkzvzetm</dc:title>
  <dc:creator/>
  <dc:description>Detailed Product Carbon Footprint (PCF) analysis report for otlkzvzetm, conducted by Senior Sustainability Consultant phmzjpnpzl for xkjtjmnzsj, adhering to GHG Protocol standards and 2026 updates.</dc:description>
  <dc:language>en</dc:language>
  <cp:keywords/>
  <dcterms:created xsi:type="dcterms:W3CDTF">2026-07-15T03:59:34Z</dcterms:created>
  <dcterms:modified xsi:type="dcterms:W3CDTF">2026-07-15T03:59:34Z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