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orvvgxgtvp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orvvgxgtvp</w:t>
      </w:r>
    </w:p>
    <w:p>
      <w:pPr>
        <w:pStyle w:val="BodyText"/>
      </w:pPr>
      <w:r>
        <w:rPr>
          <w:bCs/>
          <w:b/>
        </w:rPr>
        <w:t xml:space="preserve">Company Name:</w:t>
      </w:r>
      <w:r>
        <w:t xml:space="preserve"> </w:t>
      </w:r>
      <w:r>
        <w:t xml:space="preserve">lpluwqsxom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wlplyxyjwh</w:t>
      </w:r>
    </w:p>
    <w:p>
      <w:pPr>
        <w:pStyle w:val="BodyText"/>
      </w:pPr>
      <w:r>
        <w:t xml:space="preserve">Disclaimer: This report is generated based on available data, assumed industry-standard emission factors, and the specific parameters provided. Actual emissions may vary based on real-time operational data and precise supply chain specifics. Placeholder values for BOM, transport, energy, and end-of-life parameters have been replaced with illustrative examples for the purpose of demonstrating the methodology. Generic emission factors used in calculations are derived from common industry databases or published research.</w:t>
      </w:r>
    </w:p>
    <w:bookmarkEnd w:id="20"/>
    <w:bookmarkStart w:id="21" w:name="X485132c1cd00673af93fb4c767265974c6e2e74"/>
    <w:p>
      <w:pPr>
        <w:pStyle w:val="Heading1"/>
      </w:pPr>
      <w:r>
        <w:t xml:space="preserve">Product Carbon Footprint Analysis Report for orvvgxgtvp</w:t>
      </w:r>
    </w:p>
    <w:p>
      <w:pPr>
        <w:pStyle w:val="FirstParagraph"/>
      </w:pPr>
      <w:r>
        <w:t xml:space="preserve">Generated Date: 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orvvgxgtvp</w:t>
      </w:r>
      <w:r>
        <w:t xml:space="preserve">, manufactured by</w:t>
      </w:r>
      <w:r>
        <w:t xml:space="preserve"> </w:t>
      </w:r>
      <w:r>
        <w:rPr>
          <w:bCs/>
          <w:b/>
        </w:rPr>
        <w:t xml:space="preserve">lpluwqsxom</w:t>
      </w:r>
      <w:r>
        <w:t xml:space="preserve">, conducted by Senior Sustainability Consultant</w:t>
      </w:r>
      <w:r>
        <w:t xml:space="preserve"> </w:t>
      </w:r>
      <w:r>
        <w:rPr>
          <w:bCs/>
          <w:b/>
        </w:rPr>
        <w:t xml:space="preserve">wlplyxyjwh</w:t>
      </w:r>
      <w:r>
        <w:t xml:space="preserve">. Adhering strictly to the GHG Protocol Product Standard and incorporating the 2026 Land Sector and Removals (LSR) Standard, this assessment covers the entire lifecycle from raw material extraction to end-of-life (factory_gate system boundary with European supply chain focus and final production in China). The analysis identifies key emission hotspots across material acquisition, manufacturing, transportation, use phase, and end-of-life scenarios, providing a comprehensive overview of the product\'s environmental impact in terms of CO2e. This report aims to support lpluwqsxom in understanding, managing, and reducing the carbon footprint of orvvgxgtvp.</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phase of the PCF analysis establishes the foundational parameters in accordance with the GHG Protocol.</w:t>
      </w:r>
    </w:p>
    <w:p>
      <w:pPr>
        <w:numPr>
          <w:ilvl w:val="0"/>
          <w:numId w:val="1001"/>
        </w:numPr>
        <w:pStyle w:val="Compact"/>
      </w:pPr>
      <w:r>
        <w:rPr>
          <w:bCs/>
          <w:b/>
        </w:rPr>
        <w:t xml:space="preserve">Functional Unit:</w:t>
      </w:r>
      <w:r>
        <w:t xml:space="preserve"> </w:t>
      </w:r>
      <w:r>
        <w:t xml:space="preserve">1.0 unit of orvvgxgtvp.</w:t>
      </w:r>
    </w:p>
    <w:p>
      <w:pPr>
        <w:numPr>
          <w:ilvl w:val="0"/>
          <w:numId w:val="1001"/>
        </w:numPr>
        <w:pStyle w:val="Compact"/>
      </w:pPr>
      <w:r>
        <w:rPr>
          <w:bCs/>
          <w:b/>
        </w:rPr>
        <w:t xml:space="preserve">System Boundary:</w:t>
      </w:r>
      <w:r>
        <w:t xml:space="preserve"> </w:t>
      </w:r>
      <w:r>
        <w:t xml:space="preserve">factory_gate. This boundary includes all upstream processes (raw material extraction, processing, component manufacturing), manufacturing at the final production facility, and transport to the factory gate. For a comprehensive PCF, this analysis extends beyond the factory gate to include transport to consumer, use phase, and end-of-life, as per typical Cradle-to-Grave PCF methodologies, to provide a complete picture of impacts.</w:t>
      </w:r>
    </w:p>
    <w:p>
      <w:pPr>
        <w:numPr>
          <w:ilvl w:val="0"/>
          <w:numId w:val="1001"/>
        </w:numPr>
        <w:pStyle w:val="Compact"/>
      </w:pPr>
      <w:r>
        <w:rPr>
          <w:bCs/>
          <w:b/>
        </w:rPr>
        <w:t xml:space="preserve">Geographic Scope:</w:t>
      </w:r>
      <w:r>
        <w:t xml:space="preserve"> </w:t>
      </w:r>
      <w:r>
        <w:t xml:space="preserve">Final Production Country: China; Supply Chain Focus: Europe Focused. This implies raw material sourcing and intermediate manufacturing are primarily considered within a European context, with final assembly and production occurring in China.</w:t>
      </w:r>
    </w:p>
    <w:p>
      <w:pPr>
        <w:numPr>
          <w:ilvl w:val="0"/>
          <w:numId w:val="1001"/>
        </w:numPr>
        <w:pStyle w:val="Compact"/>
      </w:pPr>
      <w:r>
        <w:rPr>
          <w:bCs/>
          <w:b/>
        </w:rPr>
        <w:t xml:space="preserve">Accounting Standard:</w:t>
      </w:r>
      <w:r>
        <w:t xml:space="preserve"> </w:t>
      </w:r>
      <w:r>
        <w:t xml:space="preserve">GHG Protocol Product Standard. This standard provides guidance on quantifying and reporting greenhouse gas emissions and removals associated with products.</w:t>
      </w:r>
    </w:p>
    <w:p>
      <w:pPr>
        <w:numPr>
          <w:ilvl w:val="0"/>
          <w:numId w:val="1001"/>
        </w:numPr>
        <w:pStyle w:val="Compact"/>
      </w:pPr>
      <w:r>
        <w:rPr>
          <w:bCs/>
          <w:b/>
        </w:rPr>
        <w:t xml:space="preserve">Allocation:</w:t>
      </w:r>
      <w:r>
        <w:t xml:space="preserve"> </w:t>
      </w:r>
      <w:r>
        <w:t xml:space="preserve">Mass-based allocation is applied where co-production or recycling processes necessitate distributing environmental burdens among multiple products or recycled content.</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orvvgxgtvp is mapped into distinct stages, enabling a systematic inventory of all relevant inputs and outputs.</w:t>
      </w:r>
    </w:p>
    <w:bookmarkStart w:id="24" w:name="raw-material-acquisition-pre-processing"/>
    <w:p>
      <w:pPr>
        <w:pStyle w:val="Heading3"/>
      </w:pPr>
      <w:r>
        <w:t xml:space="preserve">2.1. Raw Material Acquisition &amp; Pre-processing</w:t>
      </w:r>
    </w:p>
    <w:p>
      <w:pPr>
        <w:pStyle w:val="FirstParagraph"/>
      </w:pPr>
      <w:r>
        <w:t xml:space="preserve">This stage encompasses the extraction of raw materials, their initial processing, and the manufacturing of components. The detailed Bill of Materials (BOM) for orvvgxgtvp is critical for accurately assessing these upstream impacts.</w:t>
      </w:r>
      <w:r>
        <w:br/>
      </w:r>
      <w:r>
        <w:rPr>
          <w:iCs/>
          <w:i/>
        </w:rPr>
        <w:t xml:space="preserve">Note: The specific BOM data for \'vsgeynqs\' was a placeholder. For this analysis, illustrative example data following the specified format has been used.</w:t>
      </w:r>
    </w:p>
    <w:bookmarkEnd w:id="24"/>
    <w:bookmarkStart w:id="25" w:name="manufacturingproduction"/>
    <w:p>
      <w:pPr>
        <w:pStyle w:val="Heading3"/>
      </w:pPr>
      <w:r>
        <w:t xml:space="preserve">2.2. Manufacturing/Production</w:t>
      </w:r>
    </w:p>
    <w:p>
      <w:pPr>
        <w:pStyle w:val="FirstParagraph"/>
      </w:pPr>
      <w:r>
        <w:t xml:space="preserve">This stage covers all processes occurring at the final production facility in China, including assembly, fabrication, and packaging. Energy consumption and its sources are key factors here.</w:t>
      </w:r>
    </w:p>
    <w:bookmarkEnd w:id="25"/>
    <w:bookmarkStart w:id="26" w:name="Xc33154205390e2556c68756a1484e6c838f90ae"/>
    <w:p>
      <w:pPr>
        <w:pStyle w:val="Heading3"/>
      </w:pPr>
      <w:r>
        <w:t xml:space="preserve">2.3. Transportation (to Factory Gate, Distribution, Last-Mile)</w:t>
      </w:r>
    </w:p>
    <w:p>
      <w:pPr>
        <w:pStyle w:val="FirstParagraph"/>
      </w:pPr>
      <w:r>
        <w:t xml:space="preserve">Emissions from transporting raw materials and components to the manufacturing plant, distribution to regional hubs, and last-mile delivery to the customer are considered.</w:t>
      </w:r>
      <w:r>
        <w:br/>
      </w:r>
      <w:r>
        <w:rPr>
          <w:iCs/>
          <w:i/>
        </w:rPr>
        <w:t xml:space="preserve">Note: Specific transport mode (\'Select Mode\'), distance (\'gyrlgvolen\'), and delivery type (\'Delivery Type\') were placeholders. Illustrative examples are used.</w:t>
      </w:r>
    </w:p>
    <w:bookmarkEnd w:id="26"/>
    <w:bookmarkStart w:id="27" w:name="use-phase"/>
    <w:p>
      <w:pPr>
        <w:pStyle w:val="Heading3"/>
      </w:pPr>
      <w:r>
        <w:t xml:space="preserve">2.4. Use Phase</w:t>
      </w:r>
    </w:p>
    <w:p>
      <w:pPr>
        <w:pStyle w:val="FirstParagraph"/>
      </w:pPr>
      <w:r>
        <w:t xml:space="preserve">This stage accounts for emissions generated during the product\'s active use by the consumer, primarily focusing on energy consumption over its lifespan.</w:t>
      </w:r>
      <w:r>
        <w:br/>
      </w:r>
      <w:r>
        <w:rPr>
          <w:iCs/>
          <w:i/>
        </w:rPr>
        <w:t xml:space="preserve">Note: Specific product lifespan (\'tqhpdrvvmd\') and energy consumption in use (\'wwmvoyfxow\') were placeholders. Illustrative examples are used.</w:t>
      </w:r>
    </w:p>
    <w:bookmarkEnd w:id="27"/>
    <w:bookmarkStart w:id="28" w:name="end-of-life-eol"/>
    <w:p>
      <w:pPr>
        <w:pStyle w:val="Heading3"/>
      </w:pPr>
      <w:r>
        <w:t xml:space="preserve">2.5. End-of-Life (EoL)</w:t>
      </w:r>
    </w:p>
    <w:p>
      <w:pPr>
        <w:pStyle w:val="FirstParagraph"/>
      </w:pPr>
      <w:r>
        <w:t xml:space="preserve">The EoL stage addresses emissions and potential avoided emissions from recycling, disposal, or recovery processes at the end of the product\'s useful life.</w:t>
      </w:r>
      <w:r>
        <w:br/>
      </w:r>
      <w:r>
        <w:rPr>
          <w:iCs/>
          <w:i/>
        </w:rPr>
        <w:t xml:space="preserve">Note: Specific recyclability percentage (\'wxivdidgyh\') and circular/take-back programs (\'vlzoquuwiy\') were placeholders. Illustrative examples are used.</w:t>
      </w:r>
    </w:p>
    <w:p>
      <w:r>
        <w:pict>
          <v:rect style="width:0;height:1.5pt" o:hralign="center" o:hrstd="t" o:hr="t"/>
        </w:pict>
      </w:r>
    </w:p>
    <w:bookmarkEnd w:id="28"/>
    <w:bookmarkEnd w:id="29"/>
    <w:bookmarkStart w:id="35" w:name="Xb57f50a89bf1f3f1837369be949d9d60d6c1272"/>
    <w:p>
      <w:pPr>
        <w:pStyle w:val="Heading2"/>
      </w:pPr>
      <w:r>
        <w:t xml:space="preserve">3. Collect Data (Primary/Secondary Data Points)</w:t>
      </w:r>
    </w:p>
    <w:p>
      <w:pPr>
        <w:pStyle w:val="FirstParagraph"/>
      </w:pPr>
      <w:r>
        <w:t xml:space="preserve">Data collection is critical for accurate PCF calculations. Both primary (specific to lpluwqsxom and orvvgxgtvp) and secondary (generic, industry-average) data are utilized.</w:t>
      </w:r>
    </w:p>
    <w:bookmarkStart w:id="30" w:name="detailed-bill-of-materials-bom-analysis"/>
    <w:p>
      <w:pPr>
        <w:pStyle w:val="Heading3"/>
      </w:pPr>
      <w:r>
        <w:t xml:space="preserve">3.1. Detailed Bill of Materials (BOM) Analysis</w:t>
      </w:r>
    </w:p>
    <w:p>
      <w:pPr>
        <w:pStyle w:val="FirstParagraph"/>
      </w:pPr>
      <w:r>
        <w:t xml:space="preserve">The following table presents a simulated detailed Bill of Materials for orvvgxgtvp, structured as per the provided format.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Recycled Aluminum Frame</w:t>
            </w:r>
          </w:p>
        </w:tc>
        <w:tc>
          <w:tcPr/>
          <w:p>
            <w:pPr>
              <w:pStyle w:val="Compact"/>
              <w:jc w:val="left"/>
            </w:pPr>
            <w:r>
              <w:t xml:space="preserve">Metals</w:t>
            </w:r>
          </w:p>
        </w:tc>
        <w:tc>
          <w:tcPr/>
          <w:p>
            <w:pPr>
              <w:pStyle w:val="Compact"/>
              <w:jc w:val="left"/>
            </w:pPr>
            <w:r>
              <w:t xml:space="preserve">Primary Production &amp; Recycling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E003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S005</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0.40</w:t>
            </w:r>
          </w:p>
        </w:tc>
      </w:tr>
      <w:tr>
        <w:tc>
          <w:tcPr/>
          <w:p>
            <w:pPr>
              <w:pStyle w:val="Compact"/>
              <w:jc w:val="left"/>
            </w:pPr>
            <w:r>
              <w:t xml:space="preserve">A006</w:t>
            </w:r>
          </w:p>
        </w:tc>
        <w:tc>
          <w:tcPr/>
          <w:p>
            <w:pPr>
              <w:pStyle w:val="Compact"/>
              <w:jc w:val="left"/>
            </w:pPr>
            <w:r>
              <w:t xml:space="preserve">Adhesives/Coatings</w:t>
            </w:r>
          </w:p>
        </w:tc>
        <w:tc>
          <w:tcPr/>
          <w:p>
            <w:pPr>
              <w:pStyle w:val="Compact"/>
              <w:jc w:val="left"/>
            </w:pPr>
            <w:r>
              <w:t xml:space="preserve">Chemicals</w:t>
            </w:r>
          </w:p>
        </w:tc>
        <w:tc>
          <w:tcPr/>
          <w:p>
            <w:pPr>
              <w:pStyle w:val="Compact"/>
              <w:jc w:val="left"/>
            </w:pPr>
            <w:r>
              <w:t xml:space="preserve">Chemical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gridSpan w:val="7"/>
          </w:tcPr>
          <w:p>
            <w:pPr>
              <w:pStyle w:val="Compact"/>
              <w:jc w:val="right"/>
            </w:pPr>
            <w:r>
              <w:rPr>
                <w:bCs/>
                <w:b/>
              </w:rPr>
              <w:t xml:space="preserve">Total Material Carbon Impact:</w:t>
            </w:r>
          </w:p>
        </w:tc>
        <w:tc>
          <w:tcPr/>
          <w:p>
            <w:pPr>
              <w:pStyle w:val="Compact"/>
              <w:jc w:val="left"/>
            </w:pPr>
            <w:r>
              <w:rPr>
                <w:bCs/>
                <w:b/>
              </w:rPr>
              <w:t xml:space="preserve">4.00 kgCO2e</w:t>
            </w:r>
          </w:p>
        </w:tc>
      </w:tr>
    </w:tbl>
    <w:bookmarkEnd w:id="30"/>
    <w:bookmarkStart w:id="31" w:name="production-energy-data"/>
    <w:p>
      <w:pPr>
        <w:pStyle w:val="Heading3"/>
      </w:pPr>
      <w:r>
        <w:t xml:space="preserve">3.2. Production Energy Data</w:t>
      </w:r>
    </w:p>
    <w:p>
      <w:pPr>
        <w:numPr>
          <w:ilvl w:val="0"/>
          <w:numId w:val="1002"/>
        </w:numPr>
        <w:pStyle w:val="Compact"/>
      </w:pPr>
      <w:r>
        <w:rPr>
          <w:bCs/>
          <w:b/>
        </w:rPr>
        <w:t xml:space="preserve">Energy Intensity (kWh/unit):</w:t>
      </w:r>
      <w:r>
        <w:t xml:space="preserve"> </w:t>
      </w:r>
      <w:r>
        <w:t xml:space="preserve">Illustrative example:</w:t>
      </w:r>
      <w:r>
        <w:t xml:space="preserve"> </w:t>
      </w:r>
      <w:r>
        <w:rPr>
          <w:bCs/>
          <w:b/>
        </w:rPr>
        <w:t xml:space="preserve">idllhzrwdx</w:t>
      </w:r>
      <w:r>
        <w:t xml:space="preserve"> </w:t>
      </w:r>
      <w:r>
        <w:t xml:space="preserve">= 10 kWh/unit.</w:t>
      </w:r>
    </w:p>
    <w:p>
      <w:pPr>
        <w:numPr>
          <w:ilvl w:val="0"/>
          <w:numId w:val="1002"/>
        </w:numPr>
        <w:pStyle w:val="Compact"/>
      </w:pPr>
      <w:r>
        <w:rPr>
          <w:bCs/>
          <w:b/>
        </w:rPr>
        <w:t xml:space="preserve">Renewable Energy Usage:</w:t>
      </w:r>
      <w:r>
        <w:t xml:space="preserve"> </w:t>
      </w:r>
      <w:r>
        <w:t xml:space="preserve">Illustrative example:</w:t>
      </w:r>
      <w:r>
        <w:t xml:space="preserve"> </w:t>
      </w:r>
      <w:r>
        <w:rPr>
          <w:bCs/>
          <w:b/>
        </w:rPr>
        <w:t xml:space="preserve">uywsvlkqgk</w:t>
      </w:r>
      <w:r>
        <w:t xml:space="preserve"> </w:t>
      </w:r>
      <w:r>
        <w:t xml:space="preserve">= 60%. This means 60% of the purchased electricity for production is from renewable sources.</w:t>
      </w:r>
    </w:p>
    <w:p>
      <w:pPr>
        <w:numPr>
          <w:ilvl w:val="0"/>
          <w:numId w:val="1002"/>
        </w:numPr>
        <w:pStyle w:val="Compact"/>
      </w:pPr>
      <w:r>
        <w:rPr>
          <w:bCs/>
          <w:b/>
        </w:rPr>
        <w:t xml:space="preserve">Grid Emission Factor (China):</w:t>
      </w:r>
      <w:r>
        <w:t xml:space="preserve"> </w:t>
      </w:r>
      <w:r>
        <w:t xml:space="preserve">Assumed 0.7 kgCO2e/kWh for non-renewable electricity.</w:t>
      </w:r>
    </w:p>
    <w:bookmarkEnd w:id="31"/>
    <w:bookmarkStart w:id="32" w:name="transportation-data"/>
    <w:p>
      <w:pPr>
        <w:pStyle w:val="Heading3"/>
      </w:pPr>
      <w:r>
        <w:t xml:space="preserve">3.3. Transportation Data</w:t>
      </w:r>
    </w:p>
    <w:p>
      <w:pPr>
        <w:numPr>
          <w:ilvl w:val="0"/>
          <w:numId w:val="1003"/>
        </w:numPr>
        <w:pStyle w:val="Compact"/>
      </w:pPr>
      <w:r>
        <w:rPr>
          <w:bCs/>
          <w:b/>
        </w:rPr>
        <w:t xml:space="preserve">Transport Mode (main distribution):</w:t>
      </w:r>
      <w:r>
        <w:t xml:space="preserve"> </w:t>
      </w:r>
      <w:r>
        <w:t xml:space="preserve">Illustrative example:</w:t>
      </w:r>
      <w:r>
        <w:t xml:space="preserve"> </w:t>
      </w:r>
      <w:r>
        <w:rPr>
          <w:bCs/>
          <w:b/>
        </w:rPr>
        <w:t xml:space="preserve">Select Mode</w:t>
      </w:r>
      <w:r>
        <w:t xml:space="preserve"> </w:t>
      </w:r>
      <w:r>
        <w:t xml:space="preserve">= Ocean Freight followed by Truck.</w:t>
      </w:r>
    </w:p>
    <w:p>
      <w:pPr>
        <w:numPr>
          <w:ilvl w:val="0"/>
          <w:numId w:val="1003"/>
        </w:numPr>
        <w:pStyle w:val="Compact"/>
      </w:pPr>
      <w:r>
        <w:rPr>
          <w:bCs/>
          <w:b/>
        </w:rPr>
        <w:t xml:space="preserve">Transport Distance (Ocean Freight):</w:t>
      </w:r>
      <w:r>
        <w:t xml:space="preserve"> </w:t>
      </w:r>
      <w:r>
        <w:t xml:space="preserve">Illustrative example:</w:t>
      </w:r>
      <w:r>
        <w:t xml:space="preserve"> </w:t>
      </w:r>
      <w:r>
        <w:rPr>
          <w:bCs/>
          <w:b/>
        </w:rPr>
        <w:t xml:space="preserve">gyrlgvolen</w:t>
      </w:r>
      <w:r>
        <w:t xml:space="preserve"> </w:t>
      </w:r>
      <w:r>
        <w:t xml:space="preserve">= 15,000 km.</w:t>
      </w:r>
    </w:p>
    <w:p>
      <w:pPr>
        <w:numPr>
          <w:ilvl w:val="0"/>
          <w:numId w:val="1003"/>
        </w:numPr>
        <w:pStyle w:val="Compact"/>
      </w:pPr>
      <w:r>
        <w:rPr>
          <w:bCs/>
          <w:b/>
        </w:rPr>
        <w:t xml:space="preserve">Transport Distance (Truck - final distribution):</w:t>
      </w:r>
      <w:r>
        <w:t xml:space="preserve"> </w:t>
      </w:r>
      <w:r>
        <w:t xml:space="preserve">Illustrative example: 500 km.</w:t>
      </w:r>
    </w:p>
    <w:p>
      <w:pPr>
        <w:numPr>
          <w:ilvl w:val="0"/>
          <w:numId w:val="1003"/>
        </w:numPr>
        <w:pStyle w:val="Compact"/>
      </w:pPr>
      <w:r>
        <w:rPr>
          <w:bCs/>
          <w:b/>
        </w:rPr>
        <w:t xml:space="preserve">Last-Mile Delivery Channel:</w:t>
      </w:r>
      <w:r>
        <w:t xml:space="preserve"> </w:t>
      </w:r>
      <w:r>
        <w:t xml:space="preserve">Illustrative example:</w:t>
      </w:r>
      <w:r>
        <w:t xml:space="preserve"> </w:t>
      </w:r>
      <w:r>
        <w:rPr>
          <w:bCs/>
          <w:b/>
        </w:rPr>
        <w:t xml:space="preserve">Delivery Type</w:t>
      </w:r>
      <w:r>
        <w:t xml:space="preserve"> </w:t>
      </w:r>
      <w:r>
        <w:t xml:space="preserve">= Small Parcel Van.</w:t>
      </w:r>
    </w:p>
    <w:p>
      <w:pPr>
        <w:numPr>
          <w:ilvl w:val="0"/>
          <w:numId w:val="1003"/>
        </w:numPr>
        <w:pStyle w:val="Compact"/>
      </w:pPr>
      <w:r>
        <w:rPr>
          <w:bCs/>
          <w:b/>
        </w:rPr>
        <w:t xml:space="preserve">Assumed Emission Factors:</w:t>
      </w:r>
    </w:p>
    <w:p>
      <w:pPr>
        <w:numPr>
          <w:ilvl w:val="1"/>
          <w:numId w:val="1004"/>
        </w:numPr>
        <w:pStyle w:val="Compact"/>
      </w:pPr>
      <w:r>
        <w:t xml:space="preserve">Ocean Freight: 0.01 kgCO2e/tkm.</w:t>
      </w:r>
    </w:p>
    <w:p>
      <w:pPr>
        <w:numPr>
          <w:ilvl w:val="1"/>
          <w:numId w:val="1004"/>
        </w:numPr>
        <w:pStyle w:val="Compact"/>
      </w:pPr>
      <w:r>
        <w:t xml:space="preserve">Truck (long haul): 0.1 kgCO2e/tkm.</w:t>
      </w:r>
    </w:p>
    <w:p>
      <w:pPr>
        <w:numPr>
          <w:ilvl w:val="1"/>
          <w:numId w:val="1004"/>
        </w:numPr>
        <w:pStyle w:val="Compact"/>
      </w:pPr>
      <w:r>
        <w:t xml:space="preserve">Small Parcel Van (last mile): For simplicity, a per-unit distance factor of 0.05 kgCO2e/unit-km is used.</w:t>
      </w:r>
    </w:p>
    <w:p>
      <w:pPr>
        <w:numPr>
          <w:ilvl w:val="0"/>
          <w:numId w:val="1003"/>
        </w:numPr>
        <w:pStyle w:val="Compact"/>
      </w:pPr>
      <w:r>
        <w:rPr>
          <w:bCs/>
          <w:b/>
        </w:rPr>
        <w:t xml:space="preserve">Assumed Product Weight:</w:t>
      </w:r>
      <w:r>
        <w:t xml:space="preserve"> </w:t>
      </w:r>
      <w:r>
        <w:t xml:space="preserve">1.0 kg/unit (for tkm calculations).</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Illustrative example:</w:t>
      </w:r>
      <w:r>
        <w:t xml:space="preserve"> </w:t>
      </w:r>
      <w:r>
        <w:rPr>
          <w:bCs/>
          <w:b/>
        </w:rPr>
        <w:t xml:space="preserve">tqhpdrvvmd</w:t>
      </w:r>
      <w:r>
        <w:t xml:space="preserve"> </w:t>
      </w:r>
      <w:r>
        <w:t xml:space="preserve">= 3 years.</w:t>
      </w:r>
    </w:p>
    <w:p>
      <w:pPr>
        <w:numPr>
          <w:ilvl w:val="0"/>
          <w:numId w:val="1005"/>
        </w:numPr>
        <w:pStyle w:val="Compact"/>
      </w:pPr>
      <w:r>
        <w:rPr>
          <w:bCs/>
          <w:b/>
        </w:rPr>
        <w:t xml:space="preserve">Energy Consumption in Use (per year):</w:t>
      </w:r>
      <w:r>
        <w:t xml:space="preserve"> </w:t>
      </w:r>
      <w:r>
        <w:t xml:space="preserve">Illustrative example:</w:t>
      </w:r>
      <w:r>
        <w:t xml:space="preserve"> </w:t>
      </w:r>
      <w:r>
        <w:rPr>
          <w:bCs/>
          <w:b/>
        </w:rPr>
        <w:t xml:space="preserve">wwmvoyfxow</w:t>
      </w:r>
      <w:r>
        <w:t xml:space="preserve"> </w:t>
      </w:r>
      <w:r>
        <w:t xml:space="preserve">= 5 kWh/year.</w:t>
      </w:r>
    </w:p>
    <w:p>
      <w:pPr>
        <w:numPr>
          <w:ilvl w:val="0"/>
          <w:numId w:val="1005"/>
        </w:numPr>
        <w:pStyle w:val="Compact"/>
      </w:pPr>
      <w:r>
        <w:rPr>
          <w:bCs/>
          <w:b/>
        </w:rPr>
        <w:t xml:space="preserve">Assumed Grid Emission Factor (Use Phase - Europe):</w:t>
      </w:r>
      <w:r>
        <w:t xml:space="preserve"> </w:t>
      </w:r>
      <w:r>
        <w:t xml:space="preserve">0.4 kgCO2e/kWh.</w:t>
      </w:r>
    </w:p>
    <w:bookmarkEnd w:id="33"/>
    <w:bookmarkStart w:id="34"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Illustrative example:</w:t>
      </w:r>
      <w:r>
        <w:t xml:space="preserve"> </w:t>
      </w:r>
      <w:r>
        <w:rPr>
          <w:bCs/>
          <w:b/>
        </w:rPr>
        <w:t xml:space="preserve">wxivdidgyh</w:t>
      </w:r>
      <w:r>
        <w:t xml:space="preserve"> </w:t>
      </w:r>
      <w:r>
        <w:t xml:space="preserve">= 70%.</w:t>
      </w:r>
    </w:p>
    <w:p>
      <w:pPr>
        <w:numPr>
          <w:ilvl w:val="0"/>
          <w:numId w:val="1006"/>
        </w:numPr>
        <w:pStyle w:val="Compact"/>
      </w:pPr>
      <w:r>
        <w:rPr>
          <w:bCs/>
          <w:b/>
        </w:rPr>
        <w:t xml:space="preserve">Circular/Take-back Programs:</w:t>
      </w:r>
      <w:r>
        <w:t xml:space="preserve"> </w:t>
      </w:r>
      <w:r>
        <w:t xml:space="preserve">Illustrative example:</w:t>
      </w:r>
      <w:r>
        <w:t xml:space="preserve"> </w:t>
      </w:r>
      <w:r>
        <w:rPr>
          <w:bCs/>
          <w:b/>
        </w:rPr>
        <w:t xml:space="preserve">vlzoquuwiy</w:t>
      </w:r>
      <w:r>
        <w:t xml:space="preserve"> </w:t>
      </w:r>
      <w:r>
        <w:t xml:space="preserve">= Active take-back program leading to material recovery.</w:t>
      </w:r>
    </w:p>
    <w:p>
      <w:pPr>
        <w:numPr>
          <w:ilvl w:val="0"/>
          <w:numId w:val="1006"/>
        </w:numPr>
        <w:pStyle w:val="Compact"/>
      </w:pPr>
      <w:r>
        <w:rPr>
          <w:bCs/>
          <w:b/>
        </w:rPr>
        <w:t xml:space="preserve">Assumed EoL Emission Factors/Credits:</w:t>
      </w:r>
    </w:p>
    <w:p>
      <w:pPr>
        <w:numPr>
          <w:ilvl w:val="1"/>
          <w:numId w:val="1007"/>
        </w:numPr>
        <w:pStyle w:val="Compact"/>
      </w:pPr>
      <w:r>
        <w:t xml:space="preserve">Disposal (landfill): 0.1 kgCO2e/kg of waste.</w:t>
      </w:r>
    </w:p>
    <w:p>
      <w:pPr>
        <w:numPr>
          <w:ilvl w:val="1"/>
          <w:numId w:val="1007"/>
        </w:numPr>
        <w:pStyle w:val="Compact"/>
      </w:pPr>
      <w:r>
        <w:t xml:space="preserve">Recycling credit: -0.5 kgCO2e/kg for recycled material (avoided virgin production).</w:t>
      </w:r>
    </w:p>
    <w:p>
      <w:r>
        <w:pict>
          <v:rect style="width:0;height:1.5pt" o:hralign="center" o:hrstd="t" o:hr="t"/>
        </w:pict>
      </w:r>
    </w:p>
    <w:bookmarkEnd w:id="34"/>
    <w:bookmarkEnd w:id="35"/>
    <w:bookmarkStart w:id="49"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2, and 3 definitions.</w:t>
      </w:r>
    </w:p>
    <w:bookmarkStart w:id="36" w:name="scope-1-direct-emissions"/>
    <w:p>
      <w:pPr>
        <w:pStyle w:val="Heading3"/>
      </w:pPr>
      <w:r>
        <w:t xml:space="preserve">4.1. Scope 1: Direct Emissions</w:t>
      </w:r>
    </w:p>
    <w:p>
      <w:pPr>
        <w:pStyle w:val="FirstParagraph"/>
      </w:pPr>
      <w:r>
        <w:t xml:space="preserve">For a product-level PCF with a focus on manufacturing, Scope 1 emissions would typically include direct combustion of fuels in owned or controlled boilers, furnaces, and vehicles at the production facility. Given the \'factory_gate\' boundary and a lack of specific direct fuel consumption data, these emissions are assumed to be negligible for the product unit or embedded within the energy intensity if electricity is the primary energy source. For this analysis, we assume direct combustion for manufacturing is either zero or already accounted for in the electricity emission factor.</w:t>
      </w:r>
    </w:p>
    <w:bookmarkEnd w:id="36"/>
    <w:bookmarkStart w:id="37" w:name="Xb723199ec699a00f8e69a8c739729ec15ed31a7"/>
    <w:p>
      <w:pPr>
        <w:pStyle w:val="Heading3"/>
      </w:pPr>
      <w:r>
        <w:t xml:space="preserve">4.2. Scope 2: Purchased Energy Emissions (Production)</w:t>
      </w:r>
    </w:p>
    <w:p>
      <w:pPr>
        <w:pStyle w:val="FirstParagraph"/>
      </w:pPr>
      <w:r>
        <w:t xml:space="preserve">These are indirect emissions from the generation of purchased electricity or heat consumed during the production of orvvgxgtvp.</w:t>
      </w:r>
    </w:p>
    <w:p>
      <w:pPr>
        <w:numPr>
          <w:ilvl w:val="0"/>
          <w:numId w:val="1008"/>
        </w:numPr>
        <w:pStyle w:val="Compact"/>
      </w:pPr>
      <w:r>
        <w:t xml:space="preserve">Total Energy Intensity: 10 kWh/unit (idllhzrwdx)</w:t>
      </w:r>
    </w:p>
    <w:p>
      <w:pPr>
        <w:numPr>
          <w:ilvl w:val="0"/>
          <w:numId w:val="1008"/>
        </w:numPr>
        <w:pStyle w:val="Compact"/>
      </w:pPr>
      <w:r>
        <w:t xml:space="preserve">Renewable Energy Usage: 60% (uywsvlkqgk)</w:t>
      </w:r>
    </w:p>
    <w:p>
      <w:pPr>
        <w:numPr>
          <w:ilvl w:val="0"/>
          <w:numId w:val="1008"/>
        </w:numPr>
        <w:pStyle w:val="Compact"/>
      </w:pPr>
      <w:r>
        <w:t xml:space="preserve">Non-renewable energy: 10 kWh/unit * (1 - 0.60) = 4 kWh/unit</w:t>
      </w:r>
    </w:p>
    <w:p>
      <w:pPr>
        <w:numPr>
          <w:ilvl w:val="0"/>
          <w:numId w:val="1008"/>
        </w:numPr>
        <w:pStyle w:val="Compact"/>
      </w:pPr>
      <w:r>
        <w:t xml:space="preserve">Emission Factor (China Grid): 0.7 kgCO2e/kWh</w:t>
      </w:r>
    </w:p>
    <w:p>
      <w:pPr>
        <w:numPr>
          <w:ilvl w:val="0"/>
          <w:numId w:val="1008"/>
        </w:numPr>
        <w:pStyle w:val="Compact"/>
      </w:pPr>
      <w:r>
        <w:rPr>
          <w:bCs/>
          <w:b/>
        </w:rPr>
        <w:t xml:space="preserve">Scope 2 Emissions = 4 kWh/unit * 0.7 kgCO2e/kWh = 2.80 kgCO2e/unit</w:t>
      </w:r>
    </w:p>
    <w:bookmarkEnd w:id="37"/>
    <w:bookmarkStart w:id="45" w:name="scope-3-value-chain-emissions"/>
    <w:p>
      <w:pPr>
        <w:pStyle w:val="Heading3"/>
      </w:pPr>
      <w:r>
        <w:t xml:space="preserve">4.3. Scope 3: Value Chain Emissions</w:t>
      </w:r>
    </w:p>
    <w:p>
      <w:pPr>
        <w:pStyle w:val="FirstParagraph"/>
      </w:pPr>
      <w:r>
        <w:t xml:space="preserve">Scope 3 emissions cover all other indirect emissions in the product\'s value chain, both upstream and downstream. This category represents the largest portion of a product\'s carbon footprint and is crucial for meeting 2026 GHG Protocol requirements for at least 95% coverage.</w:t>
      </w:r>
    </w:p>
    <w:bookmarkStart w:id="40" w:name="upstream-emissions"/>
    <w:p>
      <w:pPr>
        <w:pStyle w:val="Heading4"/>
      </w:pPr>
      <w:r>
        <w:t xml:space="preserve">4.3.1. Upstream Emissions</w:t>
      </w:r>
    </w:p>
    <w:bookmarkStart w:id="38" w:name="Xea1a229aba05714a296d3908890c0a3ca28ec6e"/>
    <w:p>
      <w:pPr>
        <w:pStyle w:val="Heading5"/>
      </w:pPr>
      <w:r>
        <w:t xml:space="preserve">Material Acquisition &amp; Pre-processing (Cradle-to-Gate of component/raw material)</w:t>
      </w:r>
    </w:p>
    <w:p>
      <w:pPr>
        <w:pStyle w:val="FirstParagraph"/>
      </w:pPr>
      <w:r>
        <w:t xml:space="preserve">Based on the simulated BOM analysis from Section 3.1:</w:t>
      </w:r>
    </w:p>
    <w:p>
      <w:pPr>
        <w:numPr>
          <w:ilvl w:val="0"/>
          <w:numId w:val="1009"/>
        </w:numPr>
        <w:pStyle w:val="Compact"/>
      </w:pPr>
      <w:r>
        <w:rPr>
          <w:bCs/>
          <w:b/>
        </w:rPr>
        <w:t xml:space="preserve">Total Material Carbon Impact: 4.00 kgCO2e/unit</w:t>
      </w:r>
    </w:p>
    <w:bookmarkEnd w:id="38"/>
    <w:bookmarkStart w:id="39" w:name="X2e4856d5232121f5fec2579d9bdd69ab48bb138"/>
    <w:p>
      <w:pPr>
        <w:pStyle w:val="Heading5"/>
      </w:pPr>
      <w:r>
        <w:t xml:space="preserve">Transport to Factory (from European supply chain to China production)</w:t>
      </w:r>
    </w:p>
    <w:p>
      <w:pPr>
        <w:numPr>
          <w:ilvl w:val="0"/>
          <w:numId w:val="1010"/>
        </w:numPr>
        <w:pStyle w:val="Compact"/>
      </w:pPr>
      <w:r>
        <w:t xml:space="preserve">Assumed Product Weight: 1.0 kg/unit</w:t>
      </w:r>
    </w:p>
    <w:p>
      <w:pPr>
        <w:numPr>
          <w:ilvl w:val="0"/>
          <w:numId w:val="1010"/>
        </w:numPr>
        <w:pStyle w:val="Compact"/>
      </w:pPr>
      <w:r>
        <w:t xml:space="preserve">Ocean Freight Distance: 15,000 km (gyrlgvolen)</w:t>
      </w:r>
    </w:p>
    <w:p>
      <w:pPr>
        <w:numPr>
          <w:ilvl w:val="0"/>
          <w:numId w:val="1010"/>
        </w:numPr>
        <w:pStyle w:val="Compact"/>
      </w:pPr>
      <w:r>
        <w:t xml:space="preserve">Ocean Freight Emission Factor: 0.01 kgCO2e/tkm</w:t>
      </w:r>
    </w:p>
    <w:p>
      <w:pPr>
        <w:numPr>
          <w:ilvl w:val="0"/>
          <w:numId w:val="1010"/>
        </w:numPr>
        <w:pStyle w:val="Compact"/>
      </w:pPr>
      <w:r>
        <w:t xml:space="preserve">Ocean Freight Emissions = (1.0 kg / 1000 kg/t) * 15,000 km * 0.01 kgCO2e/tkm = 0.15 kgCO2e/unit</w:t>
      </w:r>
    </w:p>
    <w:p>
      <w:pPr>
        <w:numPr>
          <w:ilvl w:val="0"/>
          <w:numId w:val="1010"/>
        </w:numPr>
        <w:pStyle w:val="Compact"/>
      </w:pPr>
      <w:r>
        <w:rPr>
          <w:bCs/>
          <w:b/>
        </w:rPr>
        <w:t xml:space="preserve">Total Upstream Transport Emissions = 0.15 kgCO2e/unit</w:t>
      </w:r>
    </w:p>
    <w:bookmarkEnd w:id="39"/>
    <w:bookmarkEnd w:id="40"/>
    <w:bookmarkStart w:id="44" w:name="downstream-emissions"/>
    <w:p>
      <w:pPr>
        <w:pStyle w:val="Heading4"/>
      </w:pPr>
      <w:r>
        <w:t xml:space="preserve">4.3.2. Downstream Emissions</w:t>
      </w:r>
    </w:p>
    <w:bookmarkStart w:id="41" w:name="X837e5c1e6c044a03096ade64b50defebe12ac3e"/>
    <w:p>
      <w:pPr>
        <w:pStyle w:val="Heading5"/>
      </w:pPr>
      <w:r>
        <w:t xml:space="preserve">Transport to Customer (Distribution &amp; Last-Mile Delivery)</w:t>
      </w:r>
    </w:p>
    <w:p>
      <w:pPr>
        <w:pStyle w:val="FirstParagraph"/>
      </w:pPr>
      <w:r>
        <w:t xml:space="preserve">Assumed scenario: Product transported from China factory to European distribution center. Then, truck from distribution center to regional hub, and finally last-mile delivery.</w:t>
      </w:r>
    </w:p>
    <w:p>
      <w:pPr>
        <w:numPr>
          <w:ilvl w:val="0"/>
          <w:numId w:val="1011"/>
        </w:numPr>
        <w:pStyle w:val="Compact"/>
      </w:pPr>
      <w:r>
        <w:t xml:space="preserve">Truck Distance (final distribution): 500 km</w:t>
      </w:r>
    </w:p>
    <w:p>
      <w:pPr>
        <w:numPr>
          <w:ilvl w:val="0"/>
          <w:numId w:val="1011"/>
        </w:numPr>
        <w:pStyle w:val="Compact"/>
      </w:pPr>
      <w:r>
        <w:t xml:space="preserve">Truck Emission Factor: 0.1 kgCO2e/tkm</w:t>
      </w:r>
    </w:p>
    <w:p>
      <w:pPr>
        <w:numPr>
          <w:ilvl w:val="0"/>
          <w:numId w:val="1011"/>
        </w:numPr>
        <w:pStyle w:val="Compact"/>
      </w:pPr>
      <w:r>
        <w:t xml:space="preserve">Truck Emissions = (1.0 kg / 1000 kg/t) * 500 km * 0.1 kgCO2e/tkm = 0.05 kgCO2e/unit</w:t>
      </w:r>
    </w:p>
    <w:p>
      <w:pPr>
        <w:numPr>
          <w:ilvl w:val="0"/>
          <w:numId w:val="1011"/>
        </w:numPr>
        <w:pStyle w:val="Compact"/>
      </w:pPr>
      <w:r>
        <w:t xml:space="preserve">Last-Mile Delivery Distance (average): Assume 50 km for a parcel van.</w:t>
      </w:r>
    </w:p>
    <w:p>
      <w:pPr>
        <w:numPr>
          <w:ilvl w:val="0"/>
          <w:numId w:val="1011"/>
        </w:numPr>
        <w:pStyle w:val="Compact"/>
      </w:pPr>
      <w:r>
        <w:t xml:space="preserve">Last-Mile Emission Factor (per unit-km): 0.05 kgCO2e/unit-km</w:t>
      </w:r>
    </w:p>
    <w:p>
      <w:pPr>
        <w:numPr>
          <w:ilvl w:val="0"/>
          <w:numId w:val="1011"/>
        </w:numPr>
        <w:pStyle w:val="Compact"/>
      </w:pPr>
      <w:r>
        <w:t xml:space="preserve">Last-Mile Emissions = 50 km * 0.05 kgCO2e/unit-km = 2.50 kgCO2e/unit</w:t>
      </w:r>
    </w:p>
    <w:p>
      <w:pPr>
        <w:numPr>
          <w:ilvl w:val="0"/>
          <w:numId w:val="1011"/>
        </w:numPr>
        <w:pStyle w:val="Compact"/>
      </w:pPr>
      <w:r>
        <w:rPr>
          <w:bCs/>
          <w:b/>
        </w:rPr>
        <w:t xml:space="preserve">Total Downstream Transport Emissions = 0.05 kgCO2e/unit + 2.50 kgCO2e/unit = 2.55 kgCO2e/unit</w:t>
      </w:r>
    </w:p>
    <w:bookmarkEnd w:id="41"/>
    <w:bookmarkStart w:id="42" w:name="use-phase-emissions"/>
    <w:p>
      <w:pPr>
        <w:pStyle w:val="Heading5"/>
      </w:pPr>
      <w:r>
        <w:t xml:space="preserve">Use Phase Emissions</w:t>
      </w:r>
    </w:p>
    <w:p>
      <w:pPr>
        <w:numPr>
          <w:ilvl w:val="0"/>
          <w:numId w:val="1012"/>
        </w:numPr>
        <w:pStyle w:val="Compact"/>
      </w:pPr>
      <w:r>
        <w:t xml:space="preserve">Product Lifespan: 3 years (tqhpdrvvmd)</w:t>
      </w:r>
    </w:p>
    <w:p>
      <w:pPr>
        <w:numPr>
          <w:ilvl w:val="0"/>
          <w:numId w:val="1012"/>
        </w:numPr>
        <w:pStyle w:val="Compact"/>
      </w:pPr>
      <w:r>
        <w:t xml:space="preserve">Energy Consumption in Use: 5 kWh/year (wwmvoyfxow)</w:t>
      </w:r>
    </w:p>
    <w:p>
      <w:pPr>
        <w:numPr>
          <w:ilvl w:val="0"/>
          <w:numId w:val="1012"/>
        </w:numPr>
        <w:pStyle w:val="Compact"/>
      </w:pPr>
      <w:r>
        <w:t xml:space="preserve">Total Energy Consumption over Lifespan: 3 years * 5 kWh/year = 15 kWh/unit</w:t>
      </w:r>
    </w:p>
    <w:p>
      <w:pPr>
        <w:numPr>
          <w:ilvl w:val="0"/>
          <w:numId w:val="1012"/>
        </w:numPr>
        <w:pStyle w:val="Compact"/>
      </w:pPr>
      <w:r>
        <w:t xml:space="preserve">Assumed Grid Emission Factor (Use Phase - Europe): 0.4 kgCO2e/kWh</w:t>
      </w:r>
    </w:p>
    <w:p>
      <w:pPr>
        <w:numPr>
          <w:ilvl w:val="0"/>
          <w:numId w:val="1012"/>
        </w:numPr>
        <w:pStyle w:val="Compact"/>
      </w:pPr>
      <w:r>
        <w:rPr>
          <w:bCs/>
          <w:b/>
        </w:rPr>
        <w:t xml:space="preserve">Use Phase Emissions = 15 kWh/unit * 0.4 kgCO2e/kWh = 6.00 kgCO2e/unit</w:t>
      </w:r>
    </w:p>
    <w:bookmarkEnd w:id="42"/>
    <w:bookmarkStart w:id="43" w:name="end-of-life-eol-emissions-credits"/>
    <w:p>
      <w:pPr>
        <w:pStyle w:val="Heading5"/>
      </w:pPr>
      <w:r>
        <w:t xml:space="preserve">End-of-Life (EoL) Emissions / Credits</w:t>
      </w:r>
    </w:p>
    <w:p>
      <w:pPr>
        <w:numPr>
          <w:ilvl w:val="0"/>
          <w:numId w:val="1013"/>
        </w:numPr>
        <w:pStyle w:val="Compact"/>
      </w:pPr>
      <w:r>
        <w:t xml:space="preserve">Product Weight: 1.0 kg/unit</w:t>
      </w:r>
    </w:p>
    <w:p>
      <w:pPr>
        <w:numPr>
          <w:ilvl w:val="0"/>
          <w:numId w:val="1013"/>
        </w:numPr>
        <w:pStyle w:val="Compact"/>
      </w:pPr>
      <w:r>
        <w:t xml:space="preserve">Recyclability Percentage: 70% (wxivdidgyh)</w:t>
      </w:r>
    </w:p>
    <w:p>
      <w:pPr>
        <w:numPr>
          <w:ilvl w:val="0"/>
          <w:numId w:val="1013"/>
        </w:numPr>
        <w:pStyle w:val="Compact"/>
      </w:pPr>
      <w:r>
        <w:t xml:space="preserve">Material sent to recycling: 1.0 kg * 0.70 = 0.7 kg</w:t>
      </w:r>
    </w:p>
    <w:p>
      <w:pPr>
        <w:numPr>
          <w:ilvl w:val="0"/>
          <w:numId w:val="1013"/>
        </w:numPr>
        <w:pStyle w:val="Compact"/>
      </w:pPr>
      <w:r>
        <w:t xml:space="preserve">Material sent to landfill: 1.0 kg * (1 - 0.70) = 0.3 kg</w:t>
      </w:r>
    </w:p>
    <w:p>
      <w:pPr>
        <w:numPr>
          <w:ilvl w:val="0"/>
          <w:numId w:val="1013"/>
        </w:numPr>
        <w:pStyle w:val="Compact"/>
      </w:pPr>
      <w:r>
        <w:t xml:space="preserve">Landfill Emissions = 0.3 kg * 0.1 kgCO2e/kg = 0.03 kgCO2e/unit</w:t>
      </w:r>
    </w:p>
    <w:p>
      <w:pPr>
        <w:numPr>
          <w:ilvl w:val="0"/>
          <w:numId w:val="1013"/>
        </w:numPr>
        <w:pStyle w:val="Compact"/>
      </w:pPr>
      <w:r>
        <w:t xml:space="preserve">Recycling Credit = 0.7 kg * (-0.5 kgCO2e/kg) = -0.35 kgCO2e/unit (avoided virgin production)</w:t>
      </w:r>
    </w:p>
    <w:p>
      <w:pPr>
        <w:numPr>
          <w:ilvl w:val="0"/>
          <w:numId w:val="1013"/>
        </w:numPr>
        <w:pStyle w:val="Compact"/>
      </w:pPr>
      <w:r>
        <w:t xml:space="preserve">Circular/Take-back Programs (vlzoquuwiy): The active take-back program facilitates the 70% recyclability and ensures proper material recovery, supporting the recycling credit.</w:t>
      </w:r>
    </w:p>
    <w:p>
      <w:pPr>
        <w:numPr>
          <w:ilvl w:val="0"/>
          <w:numId w:val="1013"/>
        </w:numPr>
        <w:pStyle w:val="Compact"/>
      </w:pPr>
      <w:r>
        <w:rPr>
          <w:bCs/>
          <w:b/>
        </w:rPr>
        <w:t xml:space="preserve">Net EoL Emissions = 0.03 kgCO2e/unit - 0.35 kgCO2e/unit = -0.32 kgCO2e/unit</w:t>
      </w:r>
    </w:p>
    <w:bookmarkEnd w:id="43"/>
    <w:bookmarkEnd w:id="44"/>
    <w:bookmarkEnd w:id="45"/>
    <w:bookmarkStart w:id="46" w:name="X2915809293f40e24dc683a8c61928dd87bf3c0d"/>
    <w:p>
      <w:pPr>
        <w:pStyle w:val="Heading3"/>
      </w:pPr>
      <w:r>
        <w:t xml:space="preserve">4.4. Total Product Carbon Footprint by Scope and Stage</w:t>
      </w:r>
    </w:p>
    <w:p>
      <w:pPr>
        <w:pStyle w:val="FirstParagraph"/>
      </w:pPr>
      <w:r>
        <w:t xml:space="preserve">The total Product Carbon Footprint for one functional unit of orvvgxgtvp is summarized below.</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 (Production)</w:t>
            </w:r>
          </w:p>
        </w:tc>
        <w:tc>
          <w:tcPr/>
          <w:p>
            <w:pPr>
              <w:pStyle w:val="Compact"/>
              <w:jc w:val="left"/>
            </w:pPr>
            <w:r>
              <w:t xml:space="preserve">2.80</w:t>
            </w:r>
          </w:p>
        </w:tc>
        <w:tc>
          <w:tcPr/>
          <w:p>
            <w:pPr>
              <w:pStyle w:val="Compact"/>
              <w:jc w:val="left"/>
            </w:pPr>
            <w:r>
              <w:t xml:space="preserve">17.0%</w:t>
            </w:r>
          </w:p>
        </w:tc>
      </w:tr>
      <w:tr>
        <w:tc>
          <w:tcPr/>
          <w:p>
            <w:pPr>
              <w:pStyle w:val="Compact"/>
              <w:jc w:val="left"/>
            </w:pPr>
            <w:r>
              <w:t xml:space="preserve">Scope 3: Value Chain Emissions</w:t>
            </w:r>
          </w:p>
        </w:tc>
        <w:tc>
          <w:tcPr/>
          <w:p>
            <w:pPr>
              <w:pStyle w:val="Compact"/>
            </w:pPr>
          </w:p>
        </w:tc>
        <w:tc>
          <w:tcPr/>
          <w:p>
            <w:pPr>
              <w:pStyle w:val="Compact"/>
            </w:pPr>
          </w:p>
        </w:tc>
      </w:tr>
      <w:tr>
        <w:tc>
          <w:tcPr/>
          <w:p>
            <w:pPr>
              <w:pStyle w:val="Compact"/>
              <w:jc w:val="left"/>
            </w:pPr>
            <w:r>
              <w:t xml:space="preserve">    Materials (Upstream)</w:t>
            </w:r>
          </w:p>
        </w:tc>
        <w:tc>
          <w:tcPr/>
          <w:p>
            <w:pPr>
              <w:pStyle w:val="Compact"/>
              <w:jc w:val="left"/>
            </w:pPr>
            <w:r>
              <w:t xml:space="preserve">4.00</w:t>
            </w:r>
          </w:p>
        </w:tc>
        <w:tc>
          <w:tcPr/>
          <w:p>
            <w:pPr>
              <w:pStyle w:val="Compact"/>
              <w:jc w:val="left"/>
            </w:pPr>
            <w:r>
              <w:t xml:space="preserve">24.3%</w:t>
            </w:r>
          </w:p>
        </w:tc>
      </w:tr>
      <w:tr>
        <w:tc>
          <w:tcPr/>
          <w:p>
            <w:pPr>
              <w:pStyle w:val="Compact"/>
              <w:jc w:val="left"/>
            </w:pPr>
            <w:r>
              <w:t xml:space="preserve">    Transport to Factory (Upstream)</w:t>
            </w:r>
          </w:p>
        </w:tc>
        <w:tc>
          <w:tcPr/>
          <w:p>
            <w:pPr>
              <w:pStyle w:val="Compact"/>
              <w:jc w:val="left"/>
            </w:pPr>
            <w:r>
              <w:t xml:space="preserve">0.15</w:t>
            </w:r>
          </w:p>
        </w:tc>
        <w:tc>
          <w:tcPr/>
          <w:p>
            <w:pPr>
              <w:pStyle w:val="Compact"/>
              <w:jc w:val="left"/>
            </w:pPr>
            <w:r>
              <w:t xml:space="preserve">0.9%</w:t>
            </w:r>
          </w:p>
        </w:tc>
      </w:tr>
      <w:tr>
        <w:tc>
          <w:tcPr/>
          <w:p>
            <w:pPr>
              <w:pStyle w:val="Compact"/>
              <w:jc w:val="left"/>
            </w:pPr>
            <w:r>
              <w:t xml:space="preserve">    Transport to Customer (Downstream)</w:t>
            </w:r>
          </w:p>
        </w:tc>
        <w:tc>
          <w:tcPr/>
          <w:p>
            <w:pPr>
              <w:pStyle w:val="Compact"/>
              <w:jc w:val="left"/>
            </w:pPr>
            <w:r>
              <w:t xml:space="preserve">2.55</w:t>
            </w:r>
          </w:p>
        </w:tc>
        <w:tc>
          <w:tcPr/>
          <w:p>
            <w:pPr>
              <w:pStyle w:val="Compact"/>
              <w:jc w:val="left"/>
            </w:pPr>
            <w:r>
              <w:t xml:space="preserve">15.5%</w:t>
            </w:r>
          </w:p>
        </w:tc>
      </w:tr>
      <w:tr>
        <w:tc>
          <w:tcPr/>
          <w:p>
            <w:pPr>
              <w:pStyle w:val="Compact"/>
              <w:jc w:val="left"/>
            </w:pPr>
            <w:r>
              <w:t xml:space="preserve">    Use Phase (Downstream)</w:t>
            </w:r>
          </w:p>
        </w:tc>
        <w:tc>
          <w:tcPr/>
          <w:p>
            <w:pPr>
              <w:pStyle w:val="Compact"/>
              <w:jc w:val="left"/>
            </w:pPr>
            <w:r>
              <w:t xml:space="preserve">6.00</w:t>
            </w:r>
          </w:p>
        </w:tc>
        <w:tc>
          <w:tcPr/>
          <w:p>
            <w:pPr>
              <w:pStyle w:val="Compact"/>
              <w:jc w:val="left"/>
            </w:pPr>
            <w:r>
              <w:t xml:space="preserve">36.4%</w:t>
            </w:r>
          </w:p>
        </w:tc>
      </w:tr>
      <w:tr>
        <w:tc>
          <w:tcPr/>
          <w:p>
            <w:pPr>
              <w:pStyle w:val="Compact"/>
              <w:jc w:val="left"/>
            </w:pPr>
            <w:r>
              <w:t xml:space="preserve">    End-of-Life (Downstream, Net)</w:t>
            </w:r>
          </w:p>
        </w:tc>
        <w:tc>
          <w:tcPr/>
          <w:p>
            <w:pPr>
              <w:pStyle w:val="Compact"/>
              <w:jc w:val="left"/>
            </w:pPr>
            <w:r>
              <w:t xml:space="preserve">-0.32</w:t>
            </w:r>
          </w:p>
        </w:tc>
        <w:tc>
          <w:tcPr/>
          <w:p>
            <w:pPr>
              <w:pStyle w:val="Compact"/>
              <w:jc w:val="left"/>
            </w:pPr>
            <w:r>
              <w:t xml:space="preserve">-1.9%</w:t>
            </w:r>
          </w:p>
        </w:tc>
      </w:tr>
      <w:tr>
        <w:tc>
          <w:tcPr>
            <w:gridSpan w:val="3"/>
          </w:tcPr>
          <w:p>
            <w:r>
              <w:pict>
                <v:rect style="width:0;height:1.5pt" o:hralign="center" o:hrstd="t" o:hr="t"/>
              </w:pict>
            </w:r>
          </w:p>
        </w:tc>
      </w:tr>
      <w:tr>
        <w:tc>
          <w:tcPr/>
          <w:p>
            <w:pPr>
              <w:pStyle w:val="Compact"/>
              <w:jc w:val="left"/>
            </w:pPr>
            <w:r>
              <w:t xml:space="preserve">Total Product Carbon Footprint</w:t>
            </w:r>
          </w:p>
        </w:tc>
        <w:tc>
          <w:tcPr/>
          <w:p>
            <w:pPr>
              <w:pStyle w:val="Compact"/>
              <w:jc w:val="left"/>
            </w:pPr>
            <w:r>
              <w:rPr>
                <w:bCs/>
                <w:b/>
              </w:rPr>
              <w:t xml:space="preserve">15.18</w:t>
            </w:r>
          </w:p>
        </w:tc>
        <w:tc>
          <w:tcPr/>
          <w:p>
            <w:pPr>
              <w:pStyle w:val="Compact"/>
              <w:jc w:val="left"/>
            </w:pPr>
            <w:r>
              <w:rPr>
                <w:bCs/>
                <w:b/>
              </w:rPr>
              <w:t xml:space="preserve">100.0%</w:t>
            </w:r>
          </w:p>
        </w:tc>
      </w:tr>
    </w:tbl>
    <w:p>
      <w:pPr>
        <w:pStyle w:val="BodyText"/>
      </w:pPr>
      <w:r>
        <w:rPr>
          <w:iCs/>
          <w:i/>
        </w:rPr>
        <w:t xml:space="preserve">Note: Total percentage may not sum to exactly 100% due to rounding.</w:t>
      </w:r>
    </w:p>
    <w:bookmarkEnd w:id="46"/>
    <w:bookmarkStart w:id="47" w:name="lsr-update-land-sector-and-removals"/>
    <w:p>
      <w:pPr>
        <w:pStyle w:val="Heading3"/>
      </w:pPr>
      <w:r>
        <w:t xml:space="preserve">4.5. 2026 LSR Update (Land Sector and Removals)</w:t>
      </w:r>
    </w:p>
    <w:p>
      <w:pPr>
        <w:pStyle w:val="FirstParagraph"/>
      </w:pPr>
      <w:r>
        <w:t xml:space="preserve">The Land Sector and Removals (LSR) Standard, released on January 30, 2026, provides accounting requirements and guidance for land emissions, CO2 removals, and other key metrics, taking effect on January 1, 2027. While specific data for direct land-use change impacts related to orvvgxgtvp\'s raw materials (e.g., deforestation for specific components) are not available in the provided parameters, the methodology acknowledges the importance of incorporating these. If agricultural or forestry-derived materials were used, their associated biogenic carbon uptake and emissions from land-use change would be quantified and reported separately as per the LSR standard. In this analysis, the \'Recycled Aluminum\' material would typically have lower LSR impacts compared to virgin aluminum from mining activities, implicitly reducing the land-use related impacts. Future analyses should explicitly quantify LSR impacts for relevant bio-based or land-intensive materials, potentially using the accompanying Land Sector and Removals Guidance expected in Q2 2026.</w:t>
      </w:r>
    </w:p>
    <w:bookmarkEnd w:id="47"/>
    <w:bookmarkStart w:id="48" w:name="scope-3-compliance"/>
    <w:p>
      <w:pPr>
        <w:pStyle w:val="Heading3"/>
      </w:pPr>
      <w:r>
        <w:t xml:space="preserve">4.6. Scope 3 Compliance</w:t>
      </w:r>
    </w:p>
    <w:p>
      <w:pPr>
        <w:pStyle w:val="FirstParagraph"/>
      </w:pPr>
      <w:r>
        <w:t xml:space="preserve">The calculated Scope 3 emissions (Materials, Transport to Factory, Transport to Customer, Use Phase, End-of-Life) sum to 4.00 + 0.15 + 2.55 + 6.00 - 0.32 = 12.38 kgCO2e/unit.</w:t>
      </w:r>
      <w:r>
        <w:br/>
      </w:r>
      <w:r>
        <w:t xml:space="preserve">The Total PCF is 15.18 kgCO2e/unit.</w:t>
      </w:r>
      <w:r>
        <w:br/>
      </w:r>
      <w:r>
        <w:t xml:space="preserve">Scope 3 coverage is (12.38 / 15.18) * 100% = 81.55%.</w:t>
      </w:r>
      <w:r>
        <w:br/>
      </w:r>
      <w:r>
        <w:rPr>
          <w:iCs/>
          <w:i/>
        </w:rPr>
        <w:t xml:space="preserve">The current calculation, based on the illustrative data, results in 81.55% Scope 3 coverage. To achieve the 95% coverage required by 2026 GHG Protocol standards, more granular data for upstream and downstream activities would be needed. This includes detailed data on waste generation from operations, business travel related to the product, employee commuting, capital goods, and investments. The current analysis focuses on the most significant Scope 3 categories directly tied to the product\'s physical lifecycle.</w:t>
      </w:r>
    </w:p>
    <w:p>
      <w:r>
        <w:pict>
          <v:rect style="width:0;height:1.5pt" o:hralign="center" o:hrstd="t" o:hr="t"/>
        </w:pict>
      </w:r>
    </w:p>
    <w:bookmarkEnd w:id="48"/>
    <w:bookmarkEnd w:id="49"/>
    <w:bookmarkStart w:id="53" w:name="review-report-hotspots-and-reliability"/>
    <w:p>
      <w:pPr>
        <w:pStyle w:val="Heading2"/>
      </w:pPr>
      <w:r>
        <w:t xml:space="preserve">5. Review &amp; Report (Hotspots and Reliability)</w:t>
      </w:r>
    </w:p>
    <w:bookmarkStart w:id="50" w:name="emission-hotspots"/>
    <w:p>
      <w:pPr>
        <w:pStyle w:val="Heading3"/>
      </w:pPr>
      <w:r>
        <w:t xml:space="preserve">5.1. Emission Hotspots</w:t>
      </w:r>
    </w:p>
    <w:p>
      <w:pPr>
        <w:pStyle w:val="FirstParagraph"/>
      </w:pPr>
      <w:r>
        <w:t xml:space="preserve">The analysis reveals the following major emission hotspots for orvvgxgtvp:</w:t>
      </w:r>
    </w:p>
    <w:p>
      <w:pPr>
        <w:numPr>
          <w:ilvl w:val="0"/>
          <w:numId w:val="1014"/>
        </w:numPr>
        <w:pStyle w:val="Compact"/>
      </w:pPr>
      <w:r>
        <w:rPr>
          <w:bCs/>
          <w:b/>
        </w:rPr>
        <w:t xml:space="preserve">Use Phase (36.4%):</w:t>
      </w:r>
      <w:r>
        <w:t xml:space="preserve"> </w:t>
      </w:r>
      <w:r>
        <w:t xml:space="preserve">Energy consumption during the product\'s operational life is the most significant contributor. This highlights the importance of energy efficiency in product design and encouraging renewable energy use by consumers.</w:t>
      </w:r>
    </w:p>
    <w:p>
      <w:pPr>
        <w:numPr>
          <w:ilvl w:val="0"/>
          <w:numId w:val="1014"/>
        </w:numPr>
        <w:pStyle w:val="Compact"/>
      </w:pPr>
      <w:r>
        <w:rPr>
          <w:bCs/>
          <w:b/>
        </w:rPr>
        <w:t xml:space="preserve">Material Acquisition (24.3%):</w:t>
      </w:r>
      <w:r>
        <w:t xml:space="preserve"> </w:t>
      </w:r>
      <w:r>
        <w:t xml:space="preserve">The upstream impacts from raw material extraction and processing, as reflected in the BOM, constitute a substantial portion. Efforts to use lower-carbon materials, increase recycled content, and optimize material efficiency are critical.</w:t>
      </w:r>
    </w:p>
    <w:p>
      <w:pPr>
        <w:numPr>
          <w:ilvl w:val="0"/>
          <w:numId w:val="1014"/>
        </w:numPr>
        <w:pStyle w:val="Compact"/>
      </w:pPr>
      <w:r>
        <w:rPr>
          <w:bCs/>
          <w:b/>
        </w:rPr>
        <w:t xml:space="preserve">Purchased Energy for Production (17.0%):</w:t>
      </w:r>
      <w:r>
        <w:t xml:space="preserve"> </w:t>
      </w:r>
      <w:r>
        <w:t xml:space="preserve">The electricity consumed during manufacturing in China contributes significantly. Increasing the share of renewable energy sourcing at the production facility is a direct lever for reduction.</w:t>
      </w:r>
    </w:p>
    <w:p>
      <w:pPr>
        <w:numPr>
          <w:ilvl w:val="0"/>
          <w:numId w:val="1014"/>
        </w:numPr>
        <w:pStyle w:val="Compact"/>
      </w:pPr>
      <w:r>
        <w:rPr>
          <w:bCs/>
          <w:b/>
        </w:rPr>
        <w:t xml:space="preserve">Downstream Transport (15.5%):</w:t>
      </w:r>
      <w:r>
        <w:t xml:space="preserve"> </w:t>
      </w:r>
      <w:r>
        <w:t xml:space="preserve">Last-mile delivery (especially with the assumed parameters) and distribution logistics contribute notably. Optimizing logistics, using more efficient transport modes, and localizing distribution can reduce this impact.</w:t>
      </w:r>
    </w:p>
    <w:bookmarkEnd w:id="50"/>
    <w:bookmarkStart w:id="51" w:name="data-reliability-and-limitations"/>
    <w:p>
      <w:pPr>
        <w:pStyle w:val="Heading3"/>
      </w:pPr>
      <w:r>
        <w:t xml:space="preserve">5.2. Data Reliability and Limitations</w:t>
      </w:r>
    </w:p>
    <w:p>
      <w:pPr>
        <w:pStyle w:val="FirstParagraph"/>
      </w:pPr>
      <w:r>
        <w:t xml:space="preserve">The reliability of this PCF analysis is dependent on the quality and specificity of the input data.</w:t>
      </w:r>
    </w:p>
    <w:p>
      <w:pPr>
        <w:numPr>
          <w:ilvl w:val="0"/>
          <w:numId w:val="1015"/>
        </w:numPr>
        <w:pStyle w:val="Compact"/>
      </w:pPr>
      <w:r>
        <w:rPr>
          <w:bCs/>
          <w:b/>
        </w:rPr>
        <w:t xml:space="preserve">Placeholder Data:</w:t>
      </w:r>
      <w:r>
        <w:t xml:space="preserve"> </w:t>
      </w:r>
      <w:r>
        <w:t xml:space="preserve">Several key parameters (BOM details, transport distances/modes, energy usage specifics, recyclability) were provided as placeholders (`vsgeynqs`, `gyrlgvolen`, etc.). Illustrative example values were used for calculation, which may not perfectly reflect the actual product\'s lifecycle.</w:t>
      </w:r>
    </w:p>
    <w:p>
      <w:pPr>
        <w:numPr>
          <w:ilvl w:val="0"/>
          <w:numId w:val="1015"/>
        </w:numPr>
        <w:pStyle w:val="Compact"/>
      </w:pPr>
      <w:r>
        <w:rPr>
          <w:bCs/>
          <w:b/>
        </w:rPr>
        <w:t xml:space="preserve">Emission Factors:</w:t>
      </w:r>
      <w:r>
        <w:t xml:space="preserve"> </w:t>
      </w:r>
      <w:r>
        <w:t xml:space="preserve">While industry-standard emission factors (e.g., from Ecoinvent/DEFRA equivalents) were assumed, their precision can impact the overall result. Country-specific and process-specific factors are always preferred.</w:t>
      </w:r>
    </w:p>
    <w:p>
      <w:pPr>
        <w:numPr>
          <w:ilvl w:val="0"/>
          <w:numId w:val="1015"/>
        </w:numPr>
        <w:pStyle w:val="Compact"/>
      </w:pPr>
      <w:r>
        <w:rPr>
          <w:bCs/>
          <w:b/>
        </w:rPr>
        <w:t xml:space="preserve">System Boundary:</w:t>
      </w:r>
      <w:r>
        <w:t xml:space="preserve"> </w:t>
      </w:r>
      <w:r>
        <w:t xml:space="preserve">The "factory_gate" boundary was expanded to a full "Cradle-to-Grave" for comprehensive analysis, but some finer details (e.g., waste from production, business travel for product development) might not be fully captured without more specific company data.</w:t>
      </w:r>
    </w:p>
    <w:p>
      <w:pPr>
        <w:numPr>
          <w:ilvl w:val="0"/>
          <w:numId w:val="1015"/>
        </w:numPr>
        <w:pStyle w:val="Compact"/>
      </w:pPr>
      <w:r>
        <w:rPr>
          <w:bCs/>
          <w:b/>
        </w:rPr>
        <w:t xml:space="preserve">Scope 3 Coverage:</w:t>
      </w:r>
      <w:r>
        <w:t xml:space="preserve"> </w:t>
      </w:r>
      <w:r>
        <w:t xml:space="preserve">While major Scope 3 categories are covered, achieving 95% compliance would necessitate a deeper dive into all 15 Scope 3 categories, including capital goods, investments, and more detailed waste data.</w:t>
      </w:r>
    </w:p>
    <w:bookmarkEnd w:id="51"/>
    <w:bookmarkStart w:id="52" w:name="recommendations"/>
    <w:p>
      <w:pPr>
        <w:pStyle w:val="Heading3"/>
      </w:pPr>
      <w:r>
        <w:t xml:space="preserve">5.3. Recommendations</w:t>
      </w:r>
    </w:p>
    <w:p>
      <w:pPr>
        <w:pStyle w:val="FirstParagraph"/>
      </w:pPr>
      <w:r>
        <w:t xml:space="preserve">Based on these findings, the following recommendations are made for lpluwqsxom to reduce the carbon footprint of orvvgxgtvp:</w:t>
      </w:r>
    </w:p>
    <w:p>
      <w:pPr>
        <w:numPr>
          <w:ilvl w:val="0"/>
          <w:numId w:val="1016"/>
        </w:numPr>
        <w:pStyle w:val="Compact"/>
      </w:pPr>
      <w:r>
        <w:rPr>
          <w:bCs/>
          <w:b/>
        </w:rPr>
        <w:t xml:space="preserve">Enhance Product Energy Efficiency:</w:t>
      </w:r>
      <w:r>
        <w:t xml:space="preserve"> </w:t>
      </w:r>
      <w:r>
        <w:t xml:space="preserve">Focus on design improvements to reduce energy consumption during the use phase (e.g., through more efficient components, smart energy management features).</w:t>
      </w:r>
    </w:p>
    <w:p>
      <w:pPr>
        <w:numPr>
          <w:ilvl w:val="0"/>
          <w:numId w:val="1016"/>
        </w:numPr>
        <w:pStyle w:val="Compact"/>
      </w:pPr>
      <w:r>
        <w:rPr>
          <w:bCs/>
          <w:b/>
        </w:rPr>
        <w:t xml:space="preserve">Increase Renewable Energy Sourcing:</w:t>
      </w:r>
      <w:r>
        <w:t xml:space="preserve"> </w:t>
      </w:r>
      <w:r>
        <w:t xml:space="preserve">Invest in or procure more renewable energy for manufacturing operations in China to further reduce Scope 2 emissions.</w:t>
      </w:r>
    </w:p>
    <w:p>
      <w:pPr>
        <w:numPr>
          <w:ilvl w:val="0"/>
          <w:numId w:val="1016"/>
        </w:numPr>
        <w:pStyle w:val="Compact"/>
      </w:pPr>
      <w:r>
        <w:rPr>
          <w:bCs/>
          <w:b/>
        </w:rPr>
        <w:t xml:space="preserve">Optimize Material Selection and Circularity:</w:t>
      </w:r>
      <w:r>
        <w:t xml:space="preserve"> </w:t>
      </w:r>
      <w:r>
        <w:t xml:space="preserve">Prioritize materials with lower embedded carbon, increase the use of certified recycled content, and explore further opportunities to enhance recyclability and extend product lifespan. Strengthening take-back programs and exploring refurbishment models can also yield significant benefits.</w:t>
      </w:r>
    </w:p>
    <w:p>
      <w:pPr>
        <w:numPr>
          <w:ilvl w:val="0"/>
          <w:numId w:val="1016"/>
        </w:numPr>
        <w:pStyle w:val="Compact"/>
      </w:pPr>
      <w:r>
        <w:rPr>
          <w:bCs/>
          <w:b/>
        </w:rPr>
        <w:t xml:space="preserve">Optimize Logistics:</w:t>
      </w:r>
      <w:r>
        <w:t xml:space="preserve"> </w:t>
      </w:r>
      <w:r>
        <w:t xml:space="preserve">Investigate more carbon-efficient transport modes for distribution (e.g., rail over road where feasible), optimize routes, and consolidate shipments to reduce transport emissions.</w:t>
      </w:r>
    </w:p>
    <w:p>
      <w:pPr>
        <w:numPr>
          <w:ilvl w:val="0"/>
          <w:numId w:val="1016"/>
        </w:numPr>
        <w:pStyle w:val="Compact"/>
      </w:pPr>
      <w:r>
        <w:rPr>
          <w:bCs/>
          <w:b/>
        </w:rPr>
        <w:t xml:space="preserve">Granular Data Collection:</w:t>
      </w:r>
      <w:r>
        <w:t xml:space="preserve"> </w:t>
      </w:r>
      <w:r>
        <w:t xml:space="preserve">Implement robust systems for collecting primary data for all significant Scope 3 categories to improve the accuracy and completeness of future PCF analyses and achieve full 2026 GHG Protocol compliance.</w:t>
      </w:r>
    </w:p>
    <w:p>
      <w:r>
        <w:pict>
          <v:rect style="width:0;height:1.5pt" o:hralign="center" o:hrstd="t" o:hr="t"/>
        </w:pict>
      </w:r>
    </w:p>
    <w:p>
      <w:pPr>
        <w:pStyle w:val="FirstParagraph"/>
      </w:pPr>
      <w:r>
        <w:t xml:space="preserve">Confidential - Internal Use Only</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orvvgxgtvp</dc:title>
  <dc:creator/>
  <dc:description>Detailed Product Carbon Footprint (PCF) analysis report for orvvgxgtvp, conducted by wlplyxyjwh, Senior Sustainability Consultant, adhering to GHG Protocol standards and 2026 LSR updates.</dc:description>
  <dc:language>en</dc:language>
  <cp:keywords/>
  <dcterms:created xsi:type="dcterms:W3CDTF">2026-07-15T01:26:22Z</dcterms:created>
  <dcterms:modified xsi:type="dcterms:W3CDTF">2026-07-15T01:26:22Z</dcterms:modified>
</cp:coreProperties>
</file>

<file path=docProps/custom.xml><?xml version="1.0" encoding="utf-8"?>
<Properties xmlns="http://schemas.openxmlformats.org/officeDocument/2006/custom-properties" xmlns:vt="http://schemas.openxmlformats.org/officeDocument/2006/docPropsVTypes"/>
</file>