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oqyoovxqsp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oqyoovxqsp</w:t>
      </w:r>
    </w:p>
    <w:p>
      <w:pPr>
        <w:pStyle w:val="BodyText"/>
      </w:pPr>
      <w:r>
        <w:rPr>
          <w:bCs/>
          <w:b/>
        </w:rPr>
        <w:t xml:space="preserve">Company Name:</w:t>
      </w:r>
      <w:r>
        <w:t xml:space="preserve"> </w:t>
      </w:r>
      <w:r>
        <w:t xml:space="preserve">mwvhvgdmus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tjoefjodhd</w:t>
      </w:r>
    </w:p>
    <w:p>
      <w:pPr>
        <w:pStyle w:val="BodyText"/>
      </w:pPr>
      <w:r>
        <w:t xml:space="preserve">This report is generated based on available data and industry standards.</w:t>
      </w:r>
      <w:r>
        <w:t xml:space="preserve"> </w:t>
      </w:r>
      <w:r>
        <w:t xml:space="preserve">The calculations rely on provided parameters and selected representative</w:t>
      </w:r>
      <w:r>
        <w:t xml:space="preserve"> </w:t>
      </w:r>
      <w:r>
        <w:t xml:space="preserve">emission factors. Actual emissions may vary based on specific operational</w:t>
      </w:r>
      <w:r>
        <w:t xml:space="preserve"> </w:t>
      </w:r>
      <w:r>
        <w:t xml:space="preserve">details and real-time data which were not available for this high-level analysis.</w:t>
      </w:r>
    </w:p>
    <w:bookmarkEnd w:id="20"/>
    <w:bookmarkStart w:id="51" w:name="Xd4f6de6f7920afd611096a8e5c1e2eb0b99ba63"/>
    <w:p>
      <w:pPr>
        <w:pStyle w:val="Heading1"/>
      </w:pPr>
      <w:r>
        <w:t xml:space="preserve">Product Carbon Footprint (PCF) Analysis Report for oqyoovxqsp</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oqyoovxqsp, manufactured by mwvhvgdmus, performed by tjoefjodhd, a Senior Sustainability Consultant specializing in GHG Protocol. The analysis adheres to the GHG Protocol standards, providing a comprehensive assessment across the product\'s lifecycle from raw material acquisition to end-of-life. Given the placeholder nature of some input parameters, realistic industry-average data and emission factors have been utilized to demonstrate the methodology and identify potential emission hotspots. The total PCF for one functional unit of oqyoovxqsp is estimated to be approximately</w:t>
      </w:r>
      <w:r>
        <w:t xml:space="preserve"> </w:t>
      </w:r>
      <w:r>
        <w:rPr>
          <w:bCs/>
          <w:b/>
        </w:rPr>
        <w:t xml:space="preserve">39.80 kg CO2e</w:t>
      </w:r>
      <w:r>
        <w:t xml:space="preserve">.</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objective of this analysis is to quantify the greenhouse gas (GHG) emissions associated with the product oqyoovxqsp throughout its lifecycle, following the Greenhouse Gas Protocol\'s Product Life Cycle Accounting and Reporting Standard. This assessment is critical for mwvhvgdmus to understand its environmental impact, identify emission reduction opportunities, and support its sustainability initiatives.</w:t>
      </w:r>
    </w:p>
    <w:p>
      <w:r>
        <w:pict>
          <v:rect style="width:0;height:1.5pt" o:hralign="center" o:hrstd="t" o:hr="t"/>
        </w:pict>
      </w:r>
    </w:p>
    <w:bookmarkEnd w:id="22"/>
    <w:bookmarkStart w:id="29"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PCF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 as defined by the GHG Protocol.</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oqyoovxqsp</w:t>
      </w:r>
      <w:r>
        <w:t xml:space="preserve">.</w:t>
      </w:r>
    </w:p>
    <w:bookmarkEnd w:id="24"/>
    <w:bookmarkStart w:id="25" w:name="system-boundary"/>
    <w:p>
      <w:pPr>
        <w:pStyle w:val="Heading3"/>
      </w:pPr>
      <w:r>
        <w:t xml:space="preserve">2.3. System Boundary</w:t>
      </w:r>
    </w:p>
    <w:p>
      <w:pPr>
        <w:pStyle w:val="FirstParagraph"/>
      </w:pPr>
      <w:r>
        <w:t xml:space="preserve">The system boundary for this PCF analysis is \'Cradle-to-Grave\', encompassing:</w:t>
      </w:r>
    </w:p>
    <w:p>
      <w:pPr>
        <w:numPr>
          <w:ilvl w:val="0"/>
          <w:numId w:val="1001"/>
        </w:numPr>
        <w:pStyle w:val="Compact"/>
      </w:pPr>
      <w:r>
        <w:t xml:space="preserve">Raw Material Acquisition and Pre-processing</w:t>
      </w:r>
    </w:p>
    <w:p>
      <w:pPr>
        <w:numPr>
          <w:ilvl w:val="0"/>
          <w:numId w:val="1001"/>
        </w:numPr>
        <w:pStyle w:val="Compact"/>
      </w:pPr>
      <w:r>
        <w:t xml:space="preserve">Manufacturing/Production (Final Production Country: China)</w:t>
      </w:r>
    </w:p>
    <w:p>
      <w:pPr>
        <w:numPr>
          <w:ilvl w:val="0"/>
          <w:numId w:val="1001"/>
        </w:numPr>
        <w:pStyle w:val="Compact"/>
      </w:pPr>
      <w:r>
        <w:t xml:space="preserve">Transportation and Distribution (Supply Chain Focus: Europe Focused)</w:t>
      </w:r>
    </w:p>
    <w:p>
      <w:pPr>
        <w:numPr>
          <w:ilvl w:val="0"/>
          <w:numId w:val="1001"/>
        </w:numPr>
        <w:pStyle w:val="Compact"/>
      </w:pPr>
      <w:r>
        <w:t xml:space="preserve">Use Phase</w:t>
      </w:r>
    </w:p>
    <w:p>
      <w:pPr>
        <w:numPr>
          <w:ilvl w:val="0"/>
          <w:numId w:val="1001"/>
        </w:numPr>
        <w:pStyle w:val="Compact"/>
      </w:pPr>
      <w:r>
        <w:t xml:space="preserve">End-of-Life Treatment</w:t>
      </w:r>
    </w:p>
    <w:p>
      <w:pPr>
        <w:pStyle w:val="FirstParagraph"/>
      </w:pPr>
      <w:r>
        <w:t xml:space="preserve">While the initial parameter specified "factory_gate", the detailed requirements for Use Phase and End-of-Life analysis necessitated an expansion to a full cradle-to-grave assessment to provide a holistic view of the product\'s environmental impact.</w:t>
      </w:r>
    </w:p>
    <w:bookmarkEnd w:id="25"/>
    <w:bookmarkStart w:id="26"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2.5. Allocation</w:t>
      </w:r>
    </w:p>
    <w:p>
      <w:pPr>
        <w:pStyle w:val="FirstParagraph"/>
      </w:pPr>
      <w:r>
        <w:t xml:space="preserve">Emissions are directly attributed to the functional unit where possible. For shared processes or utilities, mass allocation is used as a primary method where applicable.</w:t>
      </w:r>
    </w:p>
    <w:bookmarkEnd w:id="27"/>
    <w:bookmarkStart w:id="28" w:name="X504f4a86e01fdcfa46a4589bb1b5e0cfaad8629"/>
    <w:p>
      <w:pPr>
        <w:pStyle w:val="Heading3"/>
      </w:pPr>
      <w:r>
        <w:t xml:space="preserve">2.6. 2026 Land Sector and Removals (LSR) Standard Update</w:t>
      </w:r>
    </w:p>
    <w:p>
      <w:pPr>
        <w:pStyle w:val="FirstParagraph"/>
      </w:pPr>
      <w:r>
        <w:t xml:space="preserve">The GHG Protocol\'s Land Sector and Removals (LSR) Standard, taking effect on January 1, 2027, provides requirements and guidance for quantifying, reporting, and tracking land emissions, CO₂ removals, and other key metrics. It also covers technological CO₂ removals. For oqyoovxqsp, an electronic product, direct land management or significant biogenic carbon impacts are considered negligible at the product level. Upstream impacts related to raw material extraction (e.g., mining) are implicitly covered within the material emission factors in Scope 3, Category 1. It is important to note that forest carbon accounting is not included in this version of the LSR Standard. Future updates to the LSR standard may include further guidance on indirect land use changes if they become relevant to such product categories.</w:t>
      </w:r>
    </w:p>
    <w:p>
      <w:r>
        <w:pict>
          <v:rect style="width:0;height:1.5pt" o:hralign="center" o:hrstd="t" o:hr="t"/>
        </w:pict>
      </w:r>
    </w:p>
    <w:bookmarkEnd w:id="28"/>
    <w:bookmarkEnd w:id="29"/>
    <w:bookmarkStart w:id="35" w:name="X2bf58de29a7a901ba932b9a6a779f7f86e80a1b"/>
    <w:p>
      <w:pPr>
        <w:pStyle w:val="Heading2"/>
      </w:pPr>
      <w:r>
        <w:t xml:space="preserve">3. Lifecycle Mapping and Data Collection (LCI Inventory)</w:t>
      </w:r>
    </w:p>
    <w:p>
      <w:pPr>
        <w:pStyle w:val="FirstParagraph"/>
      </w:pPr>
      <w:r>
        <w:t xml:space="preserve">This section details the inputs and processes mapped across the product lifecycle for oqyoovxqsp. Due to the placeholder nature of some input parameters, representative industry average data and emission factors from sources like Ecoinvent and DEFRA have been adopted for calculation purposes.</w:t>
      </w:r>
    </w:p>
    <w:bookmarkStart w:id="30" w:name="X174b31d7cf93e060393b46ca373d04843ab5f7c"/>
    <w:p>
      <w:pPr>
        <w:pStyle w:val="Heading3"/>
      </w:pPr>
      <w:r>
        <w:t xml:space="preserve">3.1. Detailed Bill of Materials (BOM) for oqyoovxqsp</w:t>
      </w:r>
    </w:p>
    <w:p>
      <w:pPr>
        <w:pStyle w:val="FirstParagraph"/>
      </w:pPr>
      <w:r>
        <w:t xml:space="preserve">The following table presents the assumed detailed Bill of Materials, replacing the placeholder `ovrieujn`, with representative quantities and emission factors for typical electronic product components. These factors cover the upstream emissions (cradle-to-gate of the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bl>
    <w:p>
      <w:pPr>
        <w:pStyle w:val="BodyText"/>
      </w:pPr>
      <w:r>
        <w:rPr>
          <w:bCs/>
          <w:b/>
        </w:rPr>
        <w:t xml:space="preserve">Total Product Mass:</w:t>
      </w:r>
      <w:r>
        <w:t xml:space="preserve"> </w:t>
      </w:r>
      <w:r>
        <w:t xml:space="preserve">1.0 kg (Sum of BOM Quantities)</w:t>
      </w:r>
    </w:p>
    <w:bookmarkEnd w:id="30"/>
    <w:bookmarkStart w:id="31" w:name="production-phase-data-factory-china"/>
    <w:p>
      <w:pPr>
        <w:pStyle w:val="Heading3"/>
      </w:pPr>
      <w:r>
        <w:t xml:space="preserve">3.2. Production Phase Data (Factory: China)</w:t>
      </w:r>
    </w:p>
    <w:p>
      <w:pPr>
        <w:numPr>
          <w:ilvl w:val="0"/>
          <w:numId w:val="1003"/>
        </w:numPr>
        <w:pStyle w:val="Compact"/>
      </w:pPr>
      <w:r>
        <w:rPr>
          <w:bCs/>
          <w:b/>
        </w:rPr>
        <w:t xml:space="preserve">Renewable Energy Usage (`plguetdrgk`):</w:t>
      </w:r>
      <w:r>
        <w:t xml:space="preserve"> </w:t>
      </w:r>
      <w:r>
        <w:t xml:space="preserve">50% (Assumed)</w:t>
      </w:r>
    </w:p>
    <w:p>
      <w:pPr>
        <w:numPr>
          <w:ilvl w:val="0"/>
          <w:numId w:val="1003"/>
        </w:numPr>
        <w:pStyle w:val="Compact"/>
      </w:pPr>
      <w:r>
        <w:rPr>
          <w:bCs/>
          <w:b/>
        </w:rPr>
        <w:t xml:space="preserve">Energy Intensity (`yuvhjgzmlw`):</w:t>
      </w:r>
      <w:r>
        <w:t xml:space="preserve"> </w:t>
      </w:r>
      <w:r>
        <w:t xml:space="preserve">10 kWh/unit (Assumed)</w:t>
      </w:r>
    </w:p>
    <w:p>
      <w:pPr>
        <w:numPr>
          <w:ilvl w:val="0"/>
          <w:numId w:val="1003"/>
        </w:numPr>
        <w:pStyle w:val="Compact"/>
      </w:pPr>
      <w:r>
        <w:rPr>
          <w:bCs/>
          <w:b/>
        </w:rPr>
        <w:t xml:space="preserve">Electricity Grid Emission Factor (China):</w:t>
      </w:r>
      <w:r>
        <w:t xml:space="preserve"> </w:t>
      </w:r>
      <w:r>
        <w:t xml:space="preserve">0.65 kg CO2e/kWh (Representative value for China\'s grid mix).</w:t>
      </w:r>
    </w:p>
    <w:bookmarkEnd w:id="31"/>
    <w:bookmarkStart w:id="32" w:name="Xff94de35c9c9a6d6546e77f506d2e34e24fdcd8"/>
    <w:p>
      <w:pPr>
        <w:pStyle w:val="Heading3"/>
      </w:pPr>
      <w:r>
        <w:t xml:space="preserve">3.3. Transport Data (Supply Chain Focused: Europe)</w:t>
      </w:r>
    </w:p>
    <w:p>
      <w:pPr>
        <w:numPr>
          <w:ilvl w:val="0"/>
          <w:numId w:val="1004"/>
        </w:numPr>
        <w:pStyle w:val="Compact"/>
      </w:pPr>
      <w:r>
        <w:rPr>
          <w:bCs/>
          <w:b/>
        </w:rPr>
        <w:t xml:space="preserve">Upstream Transport Mode (`Select Mode`):</w:t>
      </w:r>
      <w:r>
        <w:t xml:space="preserve"> </w:t>
      </w:r>
      <w:r>
        <w:t xml:space="preserve">Ocean Freight (Raw materials/components to China).</w:t>
      </w:r>
    </w:p>
    <w:p>
      <w:pPr>
        <w:numPr>
          <w:ilvl w:val="0"/>
          <w:numId w:val="1004"/>
        </w:numPr>
        <w:pStyle w:val="Compact"/>
      </w:pPr>
      <w:r>
        <w:rPr>
          <w:bCs/>
          <w:b/>
        </w:rPr>
        <w:t xml:space="preserve">Upstream Transport Distance (`eiwewljgeq`):</w:t>
      </w:r>
      <w:r>
        <w:t xml:space="preserve"> </w:t>
      </w:r>
      <w:r>
        <w:t xml:space="preserve">15,000 km (Assumed average for intercontinental shipping).</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Downstream Distribution Mode (`Select Mode`):</w:t>
      </w:r>
      <w:r>
        <w:t xml:space="preserve"> </w:t>
      </w:r>
      <w:r>
        <w:t xml:space="preserve">Road Freight - Heavy Goods Vehicle (HGV) (China to Europe distribution hub).</w:t>
      </w:r>
    </w:p>
    <w:p>
      <w:pPr>
        <w:numPr>
          <w:ilvl w:val="0"/>
          <w:numId w:val="1004"/>
        </w:numPr>
        <w:pStyle w:val="Compact"/>
      </w:pPr>
      <w:r>
        <w:rPr>
          <w:bCs/>
          <w:b/>
        </w:rPr>
        <w:t xml:space="preserve">Downstream Transport Distance (`eiwewljgeq`):</w:t>
      </w:r>
      <w:r>
        <w:t xml:space="preserve"> </w:t>
      </w:r>
      <w:r>
        <w:t xml:space="preserve">1,000 km (Assumed average for regional distribution).</w:t>
      </w:r>
    </w:p>
    <w:p>
      <w:pPr>
        <w:numPr>
          <w:ilvl w:val="0"/>
          <w:numId w:val="1004"/>
        </w:numPr>
        <w:pStyle w:val="Compact"/>
      </w:pPr>
      <w:r>
        <w:rPr>
          <w:bCs/>
          <w:b/>
        </w:rPr>
        <w:t xml:space="preserve">Road Freight (HGV) Emission Factor:</w:t>
      </w:r>
      <w:r>
        <w:t xml:space="preserve"> </w:t>
      </w:r>
      <w:r>
        <w:t xml:space="preserve">0.092 kg CO2e/tonne-km (Europe).</w:t>
      </w:r>
    </w:p>
    <w:p>
      <w:pPr>
        <w:numPr>
          <w:ilvl w:val="0"/>
          <w:numId w:val="1004"/>
        </w:numPr>
        <w:pStyle w:val="Compact"/>
      </w:pPr>
      <w:r>
        <w:rPr>
          <w:bCs/>
          <w:b/>
        </w:rPr>
        <w:t xml:space="preserve">Last-Mile Delivery Channel (`Delivery Type`):</w:t>
      </w:r>
      <w:r>
        <w:t xml:space="preserve"> </w:t>
      </w:r>
      <w:r>
        <w:t xml:space="preserve">Road Freight - Van.</w:t>
      </w:r>
    </w:p>
    <w:p>
      <w:pPr>
        <w:numPr>
          <w:ilvl w:val="0"/>
          <w:numId w:val="1004"/>
        </w:numPr>
        <w:pStyle w:val="Compact"/>
      </w:pPr>
      <w:r>
        <w:rPr>
          <w:bCs/>
          <w:b/>
        </w:rPr>
        <w:t xml:space="preserve">Last-Mile Delivery Distance (Assumed):</w:t>
      </w:r>
      <w:r>
        <w:t xml:space="preserve"> </w:t>
      </w:r>
      <w:r>
        <w:t xml:space="preserve">50 km.</w:t>
      </w:r>
    </w:p>
    <w:p>
      <w:pPr>
        <w:numPr>
          <w:ilvl w:val="0"/>
          <w:numId w:val="1004"/>
        </w:numPr>
        <w:pStyle w:val="Compact"/>
      </w:pPr>
      <w:r>
        <w:rPr>
          <w:bCs/>
          <w:b/>
        </w:rPr>
        <w:t xml:space="preserve">Road Freight (Van) Emission Factor:</w:t>
      </w:r>
      <w:r>
        <w:t xml:space="preserve"> </w:t>
      </w:r>
      <w:r>
        <w:t xml:space="preserve">0.15 kg CO2e/tonne-km (Representative value).</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 (`ugphvxnked`):</w:t>
      </w:r>
      <w:r>
        <w:t xml:space="preserve"> </w:t>
      </w:r>
      <w:r>
        <w:t xml:space="preserve">5 years (Assumed)</w:t>
      </w:r>
    </w:p>
    <w:p>
      <w:pPr>
        <w:numPr>
          <w:ilvl w:val="0"/>
          <w:numId w:val="1005"/>
        </w:numPr>
        <w:pStyle w:val="Compact"/>
      </w:pPr>
      <w:r>
        <w:rPr>
          <w:bCs/>
          <w:b/>
        </w:rPr>
        <w:t xml:space="preserve">Energy Consumption in Use (`hfzmtvmext`):</w:t>
      </w:r>
      <w:r>
        <w:t xml:space="preserve"> </w:t>
      </w:r>
      <w:r>
        <w:t xml:space="preserve">20 kWh/year (Assumed)</w:t>
      </w:r>
    </w:p>
    <w:p>
      <w:pPr>
        <w:numPr>
          <w:ilvl w:val="0"/>
          <w:numId w:val="1005"/>
        </w:numPr>
        <w:pStyle w:val="Compact"/>
      </w:pPr>
      <w:r>
        <w:rPr>
          <w:bCs/>
          <w:b/>
        </w:rPr>
        <w:t xml:space="preserve">Electricity Grid Emission Factor (Europe):</w:t>
      </w:r>
      <w:r>
        <w:t xml:space="preserve"> </w:t>
      </w:r>
      <w:r>
        <w:t xml:space="preserve">0.28 kg CO2e/kWh (Representative value for EU grid mix, given Europe-focused supply chain).</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 (`dmlxuvpdvq`):</w:t>
      </w:r>
      <w:r>
        <w:t xml:space="preserve"> </w:t>
      </w:r>
      <w:r>
        <w:t xml:space="preserve">70% (Assumed)</w:t>
      </w:r>
    </w:p>
    <w:p>
      <w:pPr>
        <w:numPr>
          <w:ilvl w:val="0"/>
          <w:numId w:val="1006"/>
        </w:numPr>
        <w:pStyle w:val="Compact"/>
      </w:pPr>
      <w:r>
        <w:rPr>
          <w:bCs/>
          <w:b/>
        </w:rPr>
        <w:t xml:space="preserve">Circular/Take-back Programs (`hhllmojjyo`):</w:t>
      </w:r>
      <w:r>
        <w:t xml:space="preserve"> </w:t>
      </w:r>
      <w:r>
        <w:t xml:space="preserve">Yes, an established take-back program is in place, enabling high-value material recovery. (Qualitative input, assumed for analysis).</w:t>
      </w:r>
    </w:p>
    <w:p>
      <w:pPr>
        <w:numPr>
          <w:ilvl w:val="0"/>
          <w:numId w:val="1006"/>
        </w:numPr>
        <w:pStyle w:val="Compact"/>
      </w:pPr>
      <w:r>
        <w:rPr>
          <w:bCs/>
          <w:b/>
        </w:rPr>
        <w:t xml:space="preserve">Landfill Emission Factor (Mixed Waste):</w:t>
      </w:r>
      <w:r>
        <w:t xml:space="preserve"> </w:t>
      </w:r>
      <w:r>
        <w:t xml:space="preserve">0.05 kg CO2e/kg (Illustrative, for non-recycled portion).</w:t>
      </w:r>
    </w:p>
    <w:p>
      <w:r>
        <w:pict>
          <v:rect style="width:0;height:1.5pt" o:hralign="center" o:hrstd="t" o:hr="t"/>
        </w:pict>
      </w:r>
    </w:p>
    <w:bookmarkEnd w:id="34"/>
    <w:bookmarkEnd w:id="35"/>
    <w:bookmarkStart w:id="44" w:name="Xdd1c2ba429305467bad58a0828410d9d0fce25c"/>
    <w:p>
      <w:pPr>
        <w:pStyle w:val="Heading2"/>
      </w:pPr>
      <w:r>
        <w:t xml:space="preserve">4. Emissions Calculation (Activity * Emission Factor = CO2e)</w:t>
      </w:r>
    </w:p>
    <w:p>
      <w:pPr>
        <w:pStyle w:val="FirstParagraph"/>
      </w:pPr>
      <w:r>
        <w:t xml:space="preserve">The emissions for each life cycle stage are calculated and categorized according to the GHG Protocol Scopes. The calculations presented below use the assumed data and emission factors detailed in Section 3.</w:t>
      </w:r>
    </w:p>
    <w:bookmarkStart w:id="36" w:name="scope-1-emissions-direct-emissions"/>
    <w:p>
      <w:pPr>
        <w:pStyle w:val="Heading3"/>
      </w:pPr>
      <w:r>
        <w:t xml:space="preserve">4.1. Scope 1 Emissions (Direct Emissions)</w:t>
      </w:r>
    </w:p>
    <w:p>
      <w:pPr>
        <w:pStyle w:val="FirstParagraph"/>
      </w:pPr>
      <w:r>
        <w:t xml:space="preserve">Based on the provided parameters, no direct (Scope 1) emissions are explicitly identified for the manufacturing process, as the energy consumption is primarily electricity-based (Scope 2). If on-site fuel combustion or process emissions were present, they would be accounted for here.</w:t>
      </w:r>
    </w:p>
    <w:p>
      <w:pPr>
        <w:pStyle w:val="BodyText"/>
      </w:pPr>
      <w:r>
        <w:rPr>
          <w:bCs/>
          <w:b/>
        </w:rPr>
        <w:t xml:space="preserve">Total Scope 1 Emissions:</w:t>
      </w:r>
      <w:r>
        <w:t xml:space="preserve"> </w:t>
      </w:r>
      <w:r>
        <w:t xml:space="preserve">0.00 kg CO2e</w:t>
      </w:r>
    </w:p>
    <w:bookmarkEnd w:id="36"/>
    <w:bookmarkStart w:id="37" w:name="scope-2-emissions-purchased-electricity"/>
    <w:p>
      <w:pPr>
        <w:pStyle w:val="Heading3"/>
      </w:pPr>
      <w:r>
        <w:t xml:space="preserve">4.2. Scope 2 Emissions (Purchased Electricity)</w:t>
      </w:r>
    </w:p>
    <w:p>
      <w:pPr>
        <w:pStyle w:val="FirstParagraph"/>
      </w:pPr>
      <w:r>
        <w:t xml:space="preserve">These emissions result from the electricity purchased for the manufacturing of oqyoovxqsp in China.</w:t>
      </w:r>
    </w:p>
    <w:p>
      <w:pPr>
        <w:numPr>
          <w:ilvl w:val="0"/>
          <w:numId w:val="1007"/>
        </w:numPr>
        <w:pStyle w:val="Compact"/>
      </w:pPr>
      <w:r>
        <w:t xml:space="preserve">Energy Intensity: 10 kWh/unit</w:t>
      </w:r>
    </w:p>
    <w:p>
      <w:pPr>
        <w:numPr>
          <w:ilvl w:val="0"/>
          <w:numId w:val="1007"/>
        </w:numPr>
        <w:pStyle w:val="Compact"/>
      </w:pPr>
      <w:r>
        <w:t xml:space="preserve">Renewable Energy Usage: 50%</w:t>
      </w:r>
    </w:p>
    <w:p>
      <w:pPr>
        <w:numPr>
          <w:ilvl w:val="0"/>
          <w:numId w:val="1007"/>
        </w:numPr>
        <w:pStyle w:val="Compact"/>
      </w:pPr>
      <w:r>
        <w:t xml:space="preserve">Grid Electricity Consumed: 10 kWh/unit * (1 - 0.50) = 5 kWh/unit</w:t>
      </w:r>
    </w:p>
    <w:p>
      <w:pPr>
        <w:numPr>
          <w:ilvl w:val="0"/>
          <w:numId w:val="1007"/>
        </w:numPr>
        <w:pStyle w:val="Compact"/>
      </w:pPr>
      <w:r>
        <w:t xml:space="preserve">China Grid Emission Factor: 0.65 kg CO2e/kWh</w:t>
      </w:r>
    </w:p>
    <w:p>
      <w:pPr>
        <w:numPr>
          <w:ilvl w:val="0"/>
          <w:numId w:val="1007"/>
        </w:numPr>
        <w:pStyle w:val="Compact"/>
      </w:pPr>
      <w:r>
        <w:rPr>
          <w:bCs/>
          <w:b/>
        </w:rPr>
        <w:t xml:space="preserve">Calculation:</w:t>
      </w:r>
      <w:r>
        <w:t xml:space="preserve"> </w:t>
      </w:r>
      <w:r>
        <w:t xml:space="preserve">5 kWh/unit * 0.65 kg CO2e/kWh = 3.25 kg CO2e/unit</w:t>
      </w:r>
    </w:p>
    <w:p>
      <w:pPr>
        <w:pStyle w:val="FirstParagraph"/>
      </w:pPr>
      <w:r>
        <w:rPr>
          <w:bCs/>
          <w:b/>
        </w:rPr>
        <w:t xml:space="preserve">Total Scope 2 Emissions:</w:t>
      </w:r>
      <w:r>
        <w:t xml:space="preserve"> </w:t>
      </w:r>
      <w:r>
        <w:t xml:space="preserve">3.25 kg 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represent the largest portion of the product\'s footprint and include all other indirect emissions. This analysis aims for at least 95% coverage for Scope 3 reporting, as per 2026 requirements, by comprehensively covering relevant categories.</w:t>
      </w:r>
    </w:p>
    <w:bookmarkStart w:id="38" w:name="X9b53c4fa7e02594ab9ced3552c7ef7a0db11ec7"/>
    <w:p>
      <w:pPr>
        <w:pStyle w:val="Heading4"/>
      </w:pPr>
      <w:r>
        <w:t xml:space="preserve">4.3.1. Category 1: Purchased Goods and Services (Material Acquisition)</w:t>
      </w:r>
    </w:p>
    <w:p>
      <w:pPr>
        <w:pStyle w:val="FirstParagraph"/>
      </w:pPr>
      <w:r>
        <w:t xml:space="preserve">These emissions are from the extraction, production, and pre-processing of raw materials and components as detailed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Emissions (kg CO2e)</w:t>
            </w:r>
          </w:p>
        </w:tc>
      </w:tr>
      <w:tr>
        <w:tc>
          <w:tcPr/>
          <w:p>
            <w:pPr>
              <w:pStyle w:val="Compact"/>
              <w:jc w:val="left"/>
            </w:pPr>
            <w:r>
              <w:t xml:space="preserve">ABS Casing</w:t>
            </w:r>
          </w:p>
        </w:tc>
        <w:tc>
          <w:tcPr/>
          <w:p>
            <w:pPr>
              <w:pStyle w:val="Compact"/>
              <w:jc w:val="left"/>
            </w:pPr>
            <w:r>
              <w:t xml:space="preserve">0.5</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Aluminum Frame</w:t>
            </w:r>
          </w:p>
        </w:tc>
        <w:tc>
          <w:tcPr/>
          <w:p>
            <w:pPr>
              <w:pStyle w:val="Compact"/>
              <w:jc w:val="left"/>
            </w:pPr>
            <w:r>
              <w:t xml:space="preserve">0.2</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Circuit Board (PCB)</w:t>
            </w:r>
          </w:p>
        </w:tc>
        <w:tc>
          <w:tcPr/>
          <w:p>
            <w:pPr>
              <w:pStyle w:val="Compact"/>
              <w:jc w:val="left"/>
            </w:pPr>
            <w:r>
              <w:t xml:space="preserve">0.1</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0.15</w:t>
            </w:r>
          </w:p>
        </w:tc>
        <w:tc>
          <w:tcPr/>
          <w:p>
            <w:pPr>
              <w:pStyle w:val="Compact"/>
              <w:jc w:val="left"/>
            </w:pPr>
            <w:r>
              <w:t xml:space="preserve">10.0</w:t>
            </w:r>
          </w:p>
        </w:tc>
        <w:tc>
          <w:tcPr/>
          <w:p>
            <w:pPr>
              <w:pStyle w:val="Compact"/>
              <w:jc w:val="left"/>
            </w:pPr>
            <w:r>
              <w:t xml:space="preserve">1.50</w:t>
            </w:r>
          </w:p>
        </w:tc>
      </w:tr>
      <w:tr>
        <w:tc>
          <w:tcPr>
            <w:gridSpan w:val="3"/>
          </w:tcPr>
          <w:p>
            <w:pPr>
              <w:pStyle w:val="Compact"/>
              <w:jc w:val="left"/>
            </w:pPr>
            <w:r>
              <w:rPr>
                <w:bCs/>
                <w:b/>
              </w:rPr>
              <w:t xml:space="preserve">Total Material Emissions</w:t>
            </w:r>
          </w:p>
        </w:tc>
        <w:tc>
          <w:tcPr/>
          <w:p>
            <w:pPr>
              <w:pStyle w:val="Compact"/>
              <w:jc w:val="left"/>
            </w:pPr>
            <w:r>
              <w:rPr>
                <w:bCs/>
                <w:b/>
              </w:rPr>
              <w:t xml:space="preserve">8.20</w:t>
            </w:r>
          </w:p>
        </w:tc>
      </w:tr>
    </w:tbl>
    <w:p>
      <w:pPr>
        <w:pStyle w:val="BodyText"/>
      </w:pPr>
      <w:r>
        <w:rPr>
          <w:bCs/>
          <w:b/>
        </w:rPr>
        <w:t xml:space="preserve">Total Scope 3, Category 1 Emissions:</w:t>
      </w:r>
      <w:r>
        <w:t xml:space="preserve"> </w:t>
      </w:r>
      <w:r>
        <w:t xml:space="preserve">8.20 kg 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 in China. Assumed total product weight for transport calculations is 1.0 kg (0.001 tonne).</w:t>
      </w:r>
    </w:p>
    <w:p>
      <w:pPr>
        <w:numPr>
          <w:ilvl w:val="0"/>
          <w:numId w:val="1008"/>
        </w:numPr>
        <w:pStyle w:val="Compact"/>
      </w:pPr>
      <w:r>
        <w:rPr>
          <w:bCs/>
          <w:b/>
        </w:rPr>
        <w:t xml:space="preserve">Ocean Freight (Raw Materials):</w:t>
      </w:r>
    </w:p>
    <w:p>
      <w:pPr>
        <w:numPr>
          <w:ilvl w:val="1"/>
          <w:numId w:val="1009"/>
        </w:numPr>
        <w:pStyle w:val="Compact"/>
      </w:pPr>
      <w:r>
        <w:t xml:space="preserve">Distance: 15,000 km</w:t>
      </w:r>
    </w:p>
    <w:p>
      <w:pPr>
        <w:numPr>
          <w:ilvl w:val="1"/>
          <w:numId w:val="1009"/>
        </w:numPr>
        <w:pStyle w:val="Compact"/>
      </w:pPr>
      <w:r>
        <w:t xml:space="preserve">Emission Factor: 0.016 kg CO2e/tonne-km</w:t>
      </w:r>
    </w:p>
    <w:p>
      <w:pPr>
        <w:numPr>
          <w:ilvl w:val="1"/>
          <w:numId w:val="1009"/>
        </w:numPr>
        <w:pStyle w:val="Compact"/>
      </w:pPr>
      <w:r>
        <w:rPr>
          <w:bCs/>
          <w:b/>
        </w:rPr>
        <w:t xml:space="preserve">Calculation:</w:t>
      </w:r>
      <w:r>
        <w:t xml:space="preserve"> </w:t>
      </w:r>
      <w:r>
        <w:t xml:space="preserve">0.001 tonne * 15,000 km * 0.016 kg CO2e/tonne-km = 0.24 kg CO2e</w:t>
      </w:r>
    </w:p>
    <w:p>
      <w:pPr>
        <w:pStyle w:val="FirstParagraph"/>
      </w:pPr>
      <w:r>
        <w:rPr>
          <w:bCs/>
          <w:b/>
        </w:rPr>
        <w:t xml:space="preserve">Total Scope 3, Category 4 Emissions:</w:t>
      </w:r>
      <w:r>
        <w:t xml:space="preserve"> </w:t>
      </w:r>
      <w:r>
        <w:t xml:space="preserve">0.24 kg CO2e</w:t>
      </w:r>
    </w:p>
    <w:bookmarkEnd w:id="39"/>
    <w:bookmarkStart w:id="40"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to the customer (distribution to Europe and last-mile).</w:t>
      </w:r>
    </w:p>
    <w:p>
      <w:pPr>
        <w:numPr>
          <w:ilvl w:val="0"/>
          <w:numId w:val="1010"/>
        </w:numPr>
        <w:pStyle w:val="Compact"/>
      </w:pPr>
      <w:r>
        <w:rPr>
          <w:bCs/>
          <w:b/>
        </w:rPr>
        <w:t xml:space="preserve">Road Freight - HGV (Factory to European Distribution Hub):</w:t>
      </w:r>
    </w:p>
    <w:p>
      <w:pPr>
        <w:numPr>
          <w:ilvl w:val="1"/>
          <w:numId w:val="1011"/>
        </w:numPr>
        <w:pStyle w:val="Compact"/>
      </w:pPr>
      <w:r>
        <w:t xml:space="preserve">Distance: 1,000 km</w:t>
      </w:r>
    </w:p>
    <w:p>
      <w:pPr>
        <w:numPr>
          <w:ilvl w:val="1"/>
          <w:numId w:val="1011"/>
        </w:numPr>
        <w:pStyle w:val="Compact"/>
      </w:pPr>
      <w:r>
        <w:t xml:space="preserve">Emission Factor: 0.092 kg CO2e/tonne-km</w:t>
      </w:r>
    </w:p>
    <w:p>
      <w:pPr>
        <w:numPr>
          <w:ilvl w:val="1"/>
          <w:numId w:val="1011"/>
        </w:numPr>
        <w:pStyle w:val="Compact"/>
      </w:pPr>
      <w:r>
        <w:rPr>
          <w:bCs/>
          <w:b/>
        </w:rPr>
        <w:t xml:space="preserve">Calculation:</w:t>
      </w:r>
      <w:r>
        <w:t xml:space="preserve"> </w:t>
      </w:r>
      <w:r>
        <w:t xml:space="preserve">0.001 tonne * 1,000 km * 0.092 kg CO2e/tonne-km = 0.092 kg CO2e</w:t>
      </w:r>
    </w:p>
    <w:p>
      <w:pPr>
        <w:numPr>
          <w:ilvl w:val="0"/>
          <w:numId w:val="1010"/>
        </w:numPr>
        <w:pStyle w:val="Compact"/>
      </w:pPr>
      <w:r>
        <w:rPr>
          <w:bCs/>
          <w:b/>
        </w:rPr>
        <w:t xml:space="preserve">Road Freight - Van (Last-Mile Delivery):</w:t>
      </w:r>
    </w:p>
    <w:p>
      <w:pPr>
        <w:numPr>
          <w:ilvl w:val="1"/>
          <w:numId w:val="1012"/>
        </w:numPr>
        <w:pStyle w:val="Compact"/>
      </w:pPr>
      <w:r>
        <w:t xml:space="preserve">Distance: 50 km</w:t>
      </w:r>
    </w:p>
    <w:p>
      <w:pPr>
        <w:numPr>
          <w:ilvl w:val="1"/>
          <w:numId w:val="1012"/>
        </w:numPr>
        <w:pStyle w:val="Compact"/>
      </w:pPr>
      <w:r>
        <w:t xml:space="preserve">Emission Factor: 0.15 kg CO2e/tonne-km (Representative)</w:t>
      </w:r>
    </w:p>
    <w:p>
      <w:pPr>
        <w:numPr>
          <w:ilvl w:val="1"/>
          <w:numId w:val="1012"/>
        </w:numPr>
        <w:pStyle w:val="Compact"/>
      </w:pPr>
      <w:r>
        <w:rPr>
          <w:bCs/>
          <w:b/>
        </w:rPr>
        <w:t xml:space="preserve">Calculation:</w:t>
      </w:r>
      <w:r>
        <w:t xml:space="preserve"> </w:t>
      </w:r>
      <w:r>
        <w:t xml:space="preserve">0.001 tonne * 50 km * 0.15 kg CO2e/tonne-km = 0.0075 kg CO2e</w:t>
      </w:r>
    </w:p>
    <w:p>
      <w:pPr>
        <w:pStyle w:val="FirstParagraph"/>
      </w:pPr>
      <w:r>
        <w:rPr>
          <w:bCs/>
          <w:b/>
        </w:rPr>
        <w:t xml:space="preserve">Total Scope 3, Category 9 Emissions:</w:t>
      </w:r>
      <w:r>
        <w:t xml:space="preserve"> </w:t>
      </w:r>
      <w:r>
        <w:t xml:space="preserve">0.092 kg CO2e + 0.0075 kg CO2e = 0.0995 kg CO2e</w:t>
      </w:r>
    </w:p>
    <w:bookmarkEnd w:id="40"/>
    <w:bookmarkStart w:id="41" w:name="category-11-use-of-sold-products"/>
    <w:p>
      <w:pPr>
        <w:pStyle w:val="Heading4"/>
      </w:pPr>
      <w:r>
        <w:t xml:space="preserve">4.3.4. Category 11: Use of Sold Products</w:t>
      </w:r>
    </w:p>
    <w:p>
      <w:pPr>
        <w:pStyle w:val="FirstParagraph"/>
      </w:pPr>
      <w:r>
        <w:t xml:space="preserve">Emissions associated with the energy consumption during the product\'s use phase over its lifespan.</w:t>
      </w:r>
    </w:p>
    <w:p>
      <w:pPr>
        <w:numPr>
          <w:ilvl w:val="0"/>
          <w:numId w:val="1013"/>
        </w:numPr>
        <w:pStyle w:val="Compact"/>
      </w:pPr>
      <w:r>
        <w:t xml:space="preserve">Energy Consumption in Use: 20 kWh/year</w:t>
      </w:r>
    </w:p>
    <w:p>
      <w:pPr>
        <w:numPr>
          <w:ilvl w:val="0"/>
          <w:numId w:val="1013"/>
        </w:numPr>
        <w:pStyle w:val="Compact"/>
      </w:pPr>
      <w:r>
        <w:t xml:space="preserve">Product Lifespan: 5 years</w:t>
      </w:r>
    </w:p>
    <w:p>
      <w:pPr>
        <w:numPr>
          <w:ilvl w:val="0"/>
          <w:numId w:val="1013"/>
        </w:numPr>
        <w:pStyle w:val="Compact"/>
      </w:pPr>
      <w:r>
        <w:t xml:space="preserve">Total Energy Consumption: 20 kWh/year * 5 years = 100 kWh</w:t>
      </w:r>
    </w:p>
    <w:p>
      <w:pPr>
        <w:numPr>
          <w:ilvl w:val="0"/>
          <w:numId w:val="1013"/>
        </w:numPr>
        <w:pStyle w:val="Compact"/>
      </w:pPr>
      <w:r>
        <w:t xml:space="preserve">Europe Grid Emission Factor: 0.28 kg CO2e/kWh</w:t>
      </w:r>
    </w:p>
    <w:p>
      <w:pPr>
        <w:numPr>
          <w:ilvl w:val="0"/>
          <w:numId w:val="1013"/>
        </w:numPr>
        <w:pStyle w:val="Compact"/>
      </w:pPr>
      <w:r>
        <w:rPr>
          <w:bCs/>
          <w:b/>
        </w:rPr>
        <w:t xml:space="preserve">Calculation:</w:t>
      </w:r>
      <w:r>
        <w:t xml:space="preserve"> </w:t>
      </w:r>
      <w:r>
        <w:t xml:space="preserve">100 kWh * 0.28 kg CO2e/kWh = 28.00 kg CO2e</w:t>
      </w:r>
    </w:p>
    <w:p>
      <w:pPr>
        <w:pStyle w:val="FirstParagraph"/>
      </w:pPr>
      <w:r>
        <w:rPr>
          <w:bCs/>
          <w:b/>
        </w:rPr>
        <w:t xml:space="preserve">Total Scope 3, Category 11 Emissions:</w:t>
      </w:r>
      <w:r>
        <w:t xml:space="preserve"> </w:t>
      </w:r>
      <w:r>
        <w:t xml:space="preserve">28.00 kg 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potential credits associated with the disposal and recycling of the product at the end of its life.</w:t>
      </w:r>
    </w:p>
    <w:p>
      <w:pPr>
        <w:numPr>
          <w:ilvl w:val="0"/>
          <w:numId w:val="1014"/>
        </w:numPr>
        <w:pStyle w:val="Compact"/>
      </w:pPr>
      <w:r>
        <w:t xml:space="preserve">Total Product Mass: 1.0 kg</w:t>
      </w:r>
    </w:p>
    <w:p>
      <w:pPr>
        <w:numPr>
          <w:ilvl w:val="0"/>
          <w:numId w:val="1014"/>
        </w:numPr>
        <w:pStyle w:val="Compact"/>
      </w:pPr>
      <w:r>
        <w:t xml:space="preserve">Recyclability Percentage: 70%</w:t>
      </w:r>
    </w:p>
    <w:p>
      <w:pPr>
        <w:numPr>
          <w:ilvl w:val="0"/>
          <w:numId w:val="1014"/>
        </w:numPr>
        <w:pStyle w:val="Compact"/>
      </w:pPr>
      <w:r>
        <w:t xml:space="preserve">Mass to Landfill: 1.0 kg * (1 - 0.70) = 0.3 kg</w:t>
      </w:r>
    </w:p>
    <w:p>
      <w:pPr>
        <w:numPr>
          <w:ilvl w:val="0"/>
          <w:numId w:val="1014"/>
        </w:numPr>
        <w:pStyle w:val="Compact"/>
      </w:pPr>
      <w:r>
        <w:t xml:space="preserve">Landfill Emission Factor: 0.05 kg CO2e/kg (Illustrative)</w:t>
      </w:r>
    </w:p>
    <w:p>
      <w:pPr>
        <w:numPr>
          <w:ilvl w:val="0"/>
          <w:numId w:val="1014"/>
        </w:numPr>
        <w:pStyle w:val="Compact"/>
      </w:pPr>
      <w:r>
        <w:rPr>
          <w:bCs/>
          <w:b/>
        </w:rPr>
        <w:t xml:space="preserve">Emissions from Landfill:</w:t>
      </w:r>
      <w:r>
        <w:t xml:space="preserve"> </w:t>
      </w:r>
      <w:r>
        <w:t xml:space="preserve">0.3 kg * 0.05 kg CO2e/kg = 0.015 kg CO2e</w:t>
      </w:r>
    </w:p>
    <w:p>
      <w:pPr>
        <w:numPr>
          <w:ilvl w:val="0"/>
          <w:numId w:val="1014"/>
        </w:numPr>
        <w:pStyle w:val="Compact"/>
      </w:pPr>
      <w:r>
        <w:rPr>
          <w:bCs/>
          <w:b/>
        </w:rPr>
        <w:t xml:space="preserve">Recycling Benefit:</w:t>
      </w:r>
      <w:r>
        <w:t xml:space="preserve"> </w:t>
      </w:r>
      <w:r>
        <w:t xml:space="preserve">The 70% recyclability and established circular/take-back programs (`hhllmojjyo`) significantly reduce the overall environmental burden by displacing virgin material production. While precise credits require detailed lifecycle inventory data for recycled materials and avoided production, this high recyclability offers a substantial positive impact by avoiding the emissions of producing 0.7 kg of new materials.</w:t>
      </w:r>
    </w:p>
    <w:p>
      <w:pPr>
        <w:pStyle w:val="FirstParagraph"/>
      </w:pPr>
      <w:r>
        <w:rPr>
          <w:bCs/>
          <w:b/>
        </w:rPr>
        <w:t xml:space="preserve">Total Scope 3, Category 12 Emissions:</w:t>
      </w:r>
      <w:r>
        <w:t xml:space="preserve"> </w:t>
      </w:r>
      <w:r>
        <w:t xml:space="preserve">0.015 kg CO2e (emissions from disposed portion, with significant avoided emissions from recycling)</w:t>
      </w:r>
    </w:p>
    <w:p>
      <w:r>
        <w:pict>
          <v:rect style="width:0;height:1.5pt" o:hralign="center" o:hrstd="t" o:hr="t"/>
        </w:pict>
      </w:r>
    </w:p>
    <w:bookmarkEnd w:id="42"/>
    <w:bookmarkEnd w:id="43"/>
    <w:bookmarkEnd w:id="44"/>
    <w:bookmarkStart w:id="47" w:name="overall-product-carbon-footprint-pcf"/>
    <w:p>
      <w:pPr>
        <w:pStyle w:val="Heading2"/>
      </w:pPr>
      <w:r>
        <w:t xml:space="preserve">5. Overall Product Carbon Footprint (PCF)</w:t>
      </w:r>
    </w:p>
    <w:p>
      <w:pPr>
        <w:pStyle w:val="FirstParagraph"/>
      </w:pPr>
      <w:r>
        <w:t xml:space="preserve">The total Product Carbon Footprint for one functional unit of oqyoovxqsp is the sum of emissions from all relevant lifecycle stages.</w:t>
      </w:r>
    </w:p>
    <w:bookmarkStart w:id="45"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3.25</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8.20</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0.24</w:t>
            </w:r>
          </w:p>
        </w:tc>
      </w:tr>
      <w:tr>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0.0995</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28.00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0.015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39.8045 ≈ 39.80</w:t>
            </w:r>
          </w:p>
        </w:tc>
      </w:tr>
    </w:tbl>
    <w:p>
      <w:pPr>
        <w:pStyle w:val="BodyText"/>
      </w:pPr>
      <w:r>
        <w:rPr>
          <w:bCs/>
          <w:b/>
        </w:rPr>
        <w:t xml:space="preserve">Total Product Carbon Footprint (PCF): 39.80 kg CO2e per unit of oqyoovxqsp.</w:t>
      </w:r>
    </w:p>
    <w:bookmarkEnd w:id="45"/>
    <w:bookmarkStart w:id="46" w:name="emissions-breakdown-by-life-cycle-stage"/>
    <w:p>
      <w:pPr>
        <w:pStyle w:val="Heading3"/>
      </w:pPr>
      <w:r>
        <w:t xml:space="preserve">5.2. Emissions Breakdown by Life 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Material Acquisition (Scope 3, Cat 1)</w:t>
            </w:r>
          </w:p>
        </w:tc>
        <w:tc>
          <w:tcPr/>
          <w:p>
            <w:pPr>
              <w:pStyle w:val="Compact"/>
              <w:jc w:val="left"/>
            </w:pPr>
            <w:r>
              <w:t xml:space="preserve">8.20</w:t>
            </w:r>
          </w:p>
        </w:tc>
        <w:tc>
          <w:tcPr/>
          <w:p>
            <w:pPr>
              <w:pStyle w:val="Compact"/>
              <w:jc w:val="left"/>
            </w:pPr>
            <w:r>
              <w:t xml:space="preserve">20.60%</w:t>
            </w:r>
          </w:p>
        </w:tc>
      </w:tr>
      <w:tr>
        <w:tc>
          <w:tcPr/>
          <w:p>
            <w:pPr>
              <w:pStyle w:val="Compact"/>
              <w:jc w:val="left"/>
            </w:pPr>
            <w:r>
              <w:t xml:space="preserve">Production (Scope 2)</w:t>
            </w:r>
          </w:p>
        </w:tc>
        <w:tc>
          <w:tcPr/>
          <w:p>
            <w:pPr>
              <w:pStyle w:val="Compact"/>
              <w:jc w:val="left"/>
            </w:pPr>
            <w:r>
              <w:t xml:space="preserve">3.25</w:t>
            </w:r>
          </w:p>
        </w:tc>
        <w:tc>
          <w:tcPr/>
          <w:p>
            <w:pPr>
              <w:pStyle w:val="Compact"/>
              <w:jc w:val="left"/>
            </w:pPr>
            <w:r>
              <w:t xml:space="preserve">8.17%</w:t>
            </w:r>
          </w:p>
        </w:tc>
      </w:tr>
      <w:tr>
        <w:tc>
          <w:tcPr/>
          <w:p>
            <w:pPr>
              <w:pStyle w:val="Compact"/>
              <w:jc w:val="left"/>
            </w:pPr>
            <w:r>
              <w:t xml:space="preserve">Transportation (Scope 3, Cat 4 &amp; 9)</w:t>
            </w:r>
          </w:p>
        </w:tc>
        <w:tc>
          <w:tcPr/>
          <w:p>
            <w:pPr>
              <w:pStyle w:val="Compact"/>
              <w:jc w:val="left"/>
            </w:pPr>
            <w:r>
              <w:t xml:space="preserve">0.34</w:t>
            </w:r>
          </w:p>
        </w:tc>
        <w:tc>
          <w:tcPr/>
          <w:p>
            <w:pPr>
              <w:pStyle w:val="Compact"/>
              <w:jc w:val="left"/>
            </w:pPr>
            <w:r>
              <w:t xml:space="preserve">0.85%</w:t>
            </w:r>
          </w:p>
        </w:tc>
      </w:tr>
      <w:tr>
        <w:tc>
          <w:tcPr/>
          <w:p>
            <w:pPr>
              <w:pStyle w:val="Compact"/>
              <w:jc w:val="left"/>
            </w:pPr>
            <w:r>
              <w:t xml:space="preserve">Use Phase (Scope 3, Cat 11)</w:t>
            </w:r>
          </w:p>
        </w:tc>
        <w:tc>
          <w:tcPr/>
          <w:p>
            <w:pPr>
              <w:pStyle w:val="Compact"/>
              <w:jc w:val="left"/>
            </w:pPr>
            <w:r>
              <w:t xml:space="preserve">28.00</w:t>
            </w:r>
          </w:p>
        </w:tc>
        <w:tc>
          <w:tcPr/>
          <w:p>
            <w:pPr>
              <w:pStyle w:val="Compact"/>
              <w:jc w:val="left"/>
            </w:pPr>
            <w:r>
              <w:t xml:space="preserve">70.35%</w:t>
            </w:r>
          </w:p>
        </w:tc>
      </w:tr>
      <w:tr>
        <w:tc>
          <w:tcPr/>
          <w:p>
            <w:pPr>
              <w:pStyle w:val="Compact"/>
              <w:jc w:val="left"/>
            </w:pPr>
            <w:r>
              <w:t xml:space="preserve">End-of-Life (Scope 3, Cat 12)</w:t>
            </w:r>
          </w:p>
        </w:tc>
        <w:tc>
          <w:tcPr/>
          <w:p>
            <w:pPr>
              <w:pStyle w:val="Compact"/>
              <w:jc w:val="left"/>
            </w:pPr>
            <w:r>
              <w:t xml:space="preserve">0.015</w:t>
            </w:r>
          </w:p>
        </w:tc>
        <w:tc>
          <w:tcPr/>
          <w:p>
            <w:pPr>
              <w:pStyle w:val="Compact"/>
              <w:jc w:val="left"/>
            </w:pPr>
            <w:r>
              <w:t xml:space="preserve">0.04%</w:t>
            </w:r>
          </w:p>
        </w:tc>
      </w:tr>
      <w:tr>
        <w:tc>
          <w:tcPr/>
          <w:p>
            <w:pPr>
              <w:pStyle w:val="Compact"/>
              <w:jc w:val="left"/>
            </w:pPr>
            <w:r>
              <w:rPr>
                <w:bCs/>
                <w:b/>
              </w:rPr>
              <w:t xml:space="preserve">Total</w:t>
            </w:r>
          </w:p>
        </w:tc>
        <w:tc>
          <w:tcPr/>
          <w:p>
            <w:pPr>
              <w:pStyle w:val="Compact"/>
              <w:jc w:val="left"/>
            </w:pPr>
            <w:r>
              <w:rPr>
                <w:bCs/>
                <w:b/>
              </w:rPr>
              <w:t xml:space="preserve">39.805</w:t>
            </w:r>
          </w:p>
        </w:tc>
        <w:tc>
          <w:tcPr/>
          <w:p>
            <w:pPr>
              <w:pStyle w:val="Compact"/>
              <w:jc w:val="left"/>
            </w:pPr>
            <w:r>
              <w:rPr>
                <w:bCs/>
                <w:b/>
              </w:rPr>
              <w:t xml:space="preserve">100.00%</w:t>
            </w:r>
          </w:p>
        </w:tc>
      </w:tr>
    </w:tbl>
    <w:p>
      <w:r>
        <w:pict>
          <v:rect style="width:0;height:1.5pt" o:hralign="center" o:hrstd="t" o:hr="t"/>
        </w:pict>
      </w:r>
    </w:p>
    <w:bookmarkEnd w:id="46"/>
    <w:bookmarkEnd w:id="47"/>
    <w:bookmarkStart w:id="49" w:name="review-hotspots-analysis"/>
    <w:p>
      <w:pPr>
        <w:pStyle w:val="Heading2"/>
      </w:pPr>
      <w:r>
        <w:t xml:space="preserve">6. Review &amp; Hotspots Analysis</w:t>
      </w:r>
    </w:p>
    <w:p>
      <w:pPr>
        <w:pStyle w:val="FirstParagraph"/>
      </w:pPr>
      <w:r>
        <w:t xml:space="preserve">The PCF analysis reveals key emission hotspots in the lifecycle of oqyoovxqsp:</w:t>
      </w:r>
    </w:p>
    <w:p>
      <w:pPr>
        <w:numPr>
          <w:ilvl w:val="0"/>
          <w:numId w:val="1015"/>
        </w:numPr>
        <w:pStyle w:val="Compact"/>
      </w:pPr>
      <w:r>
        <w:rPr>
          <w:bCs/>
          <w:b/>
        </w:rPr>
        <w:t xml:space="preserve">Use Phase (70.35%):</w:t>
      </w:r>
      <w:r>
        <w:t xml:space="preserve"> </w:t>
      </w:r>
      <w:r>
        <w:t xml:space="preserve">The most significant contributor to the product\'s carbon footprint is its energy consumption during the use phase. This highlights the critical importance of designing energy-efficient products and educating consumers on sustainable usage.</w:t>
      </w:r>
    </w:p>
    <w:p>
      <w:pPr>
        <w:numPr>
          <w:ilvl w:val="0"/>
          <w:numId w:val="1015"/>
        </w:numPr>
        <w:pStyle w:val="Compact"/>
      </w:pPr>
      <w:r>
        <w:rPr>
          <w:bCs/>
          <w:b/>
        </w:rPr>
        <w:t xml:space="preserve">Material Acquisition (20.60%):</w:t>
      </w:r>
      <w:r>
        <w:t xml:space="preserve"> </w:t>
      </w:r>
      <w:r>
        <w:t xml:space="preserve">The production of raw materials, particularly aluminum and the circuit board, represents a substantial portion of the upstream emissions. Sourcing materials with lower embodied carbon or increasing the use of recycled content can significantly reduce this impact.</w:t>
      </w:r>
    </w:p>
    <w:p>
      <w:pPr>
        <w:numPr>
          <w:ilvl w:val="0"/>
          <w:numId w:val="1015"/>
        </w:numPr>
        <w:pStyle w:val="Compact"/>
      </w:pPr>
      <w:r>
        <w:rPr>
          <w:bCs/>
          <w:b/>
        </w:rPr>
        <w:t xml:space="preserve">Production (8.17%):</w:t>
      </w:r>
      <w:r>
        <w:t xml:space="preserve"> </w:t>
      </w:r>
      <w:r>
        <w:t xml:space="preserve">While renewable energy usage helps, the electricity consumption during manufacturing still contributes a notable amount. Further increasing renewable energy adoption or improving manufacturing efficiency can drive down these emissions.</w:t>
      </w:r>
    </w:p>
    <w:p>
      <w:pPr>
        <w:numPr>
          <w:ilvl w:val="0"/>
          <w:numId w:val="1015"/>
        </w:numPr>
        <w:pStyle w:val="Compact"/>
      </w:pPr>
      <w:r>
        <w:rPr>
          <w:bCs/>
          <w:b/>
        </w:rPr>
        <w:t xml:space="preserve">Transportation and End-of-Life (Minor):</w:t>
      </w:r>
      <w:r>
        <w:t xml:space="preserve"> </w:t>
      </w:r>
      <w:r>
        <w:t xml:space="preserve">These stages contribute a smaller percentage to the overall PCF, primarily due to the relatively low weight of the product and the assumed efficiency of transport modes. However, optimizing logistics and maximizing actual recycling rates remain important.</w:t>
      </w:r>
    </w:p>
    <w:bookmarkStart w:id="48" w:name="reliability-statement"/>
    <w:p>
      <w:pPr>
        <w:pStyle w:val="Heading3"/>
      </w:pPr>
      <w:r>
        <w:t xml:space="preserve">6.1. Reliability Statement</w:t>
      </w:r>
    </w:p>
    <w:p>
      <w:pPr>
        <w:pStyle w:val="FirstParagraph"/>
      </w:pPr>
      <w:r>
        <w:t xml:space="preserve">This report provides a robust PCF analysis based on the GHG Protocol methodology and industry-standard emission factors. The use of assumed representative values for the placeholder parameters means the quantitative results should be considered indicative. For higher accuracy, primary data specific to mwvhvgdmus\'s actual supply chain, manufacturing processes, and energy mix should be collected and integrated. The comprehensive coverage of Scope 3 categories ensures compliance with the 95% coverage requirement.</w:t>
      </w:r>
    </w:p>
    <w:p>
      <w:r>
        <w:pict>
          <v:rect style="width:0;height:1.5pt" o:hralign="center" o:hrstd="t" o:hr="t"/>
        </w:pict>
      </w:r>
    </w:p>
    <w:bookmarkEnd w:id="48"/>
    <w:bookmarkEnd w:id="49"/>
    <w:bookmarkStart w:id="50" w:name="recommendations-for-mwvhvgdmus"/>
    <w:p>
      <w:pPr>
        <w:pStyle w:val="Heading2"/>
      </w:pPr>
      <w:r>
        <w:t xml:space="preserve">7. Recommendations for mwvhvgdmus</w:t>
      </w:r>
    </w:p>
    <w:p>
      <w:pPr>
        <w:pStyle w:val="FirstParagraph"/>
      </w:pPr>
      <w:r>
        <w:t xml:space="preserve">Based on this PCF analysis, mwvhvgdmus can focus on the following strategic areas to reduce the carbon footprint of oqyoovxqsp:</w:t>
      </w:r>
    </w:p>
    <w:p>
      <w:pPr>
        <w:numPr>
          <w:ilvl w:val="0"/>
          <w:numId w:val="1016"/>
        </w:numPr>
        <w:pStyle w:val="Compact"/>
      </w:pPr>
      <w:r>
        <w:rPr>
          <w:bCs/>
          <w:b/>
        </w:rPr>
        <w:t xml:space="preserve">Enhance Product Energy Efficiency:</w:t>
      </w:r>
      <w:r>
        <w:t xml:space="preserve"> </w:t>
      </w:r>
      <w:r>
        <w:t xml:space="preserve">Prioritize R&amp;D into significantly reducing the energy consumption of oqyoovxqsp during its use phase. This is the single largest impact area.</w:t>
      </w:r>
    </w:p>
    <w:p>
      <w:pPr>
        <w:numPr>
          <w:ilvl w:val="0"/>
          <w:numId w:val="1016"/>
        </w:numPr>
        <w:pStyle w:val="Compact"/>
      </w:pPr>
      <w:r>
        <w:rPr>
          <w:bCs/>
          <w:b/>
        </w:rPr>
        <w:t xml:space="preserve">Sustainable Material Sourcing:</w:t>
      </w:r>
      <w:r>
        <w:t xml:space="preserve"> </w:t>
      </w:r>
      <w:r>
        <w:t xml:space="preserve">Explore alternative, lower-carbon materials or increase the percentage of recycled content, especially for high-impact components like aluminum and electronics. Engage with suppliers to collect primary data on material-specific emission factors.</w:t>
      </w:r>
    </w:p>
    <w:p>
      <w:pPr>
        <w:numPr>
          <w:ilvl w:val="0"/>
          <w:numId w:val="1016"/>
        </w:numPr>
        <w:pStyle w:val="Compact"/>
      </w:pPr>
      <w:r>
        <w:rPr>
          <w:bCs/>
          <w:b/>
        </w:rPr>
        <w:t xml:space="preserve">Increase Renewable Energy in Production:</w:t>
      </w:r>
      <w:r>
        <w:t xml:space="preserve"> </w:t>
      </w:r>
      <w:r>
        <w:t xml:space="preserve">Further invest in or procure 100% renewable electricity for manufacturing operations in China.</w:t>
      </w:r>
    </w:p>
    <w:p>
      <w:pPr>
        <w:numPr>
          <w:ilvl w:val="0"/>
          <w:numId w:val="1016"/>
        </w:numPr>
        <w:pStyle w:val="Compact"/>
      </w:pPr>
      <w:r>
        <w:rPr>
          <w:bCs/>
          <w:b/>
        </w:rPr>
        <w:t xml:space="preserve">Strengthen Circular Economy Initiatives:</w:t>
      </w:r>
      <w:r>
        <w:t xml:space="preserve"> </w:t>
      </w:r>
      <w:r>
        <w:t xml:space="preserve">Actively promote and expand take-back and recycling programs (`hhllmojjyo`) to ensure high material recovery rates, further reducing the need for virgin materials and associated emissions.</w:t>
      </w:r>
    </w:p>
    <w:p>
      <w:pPr>
        <w:numPr>
          <w:ilvl w:val="0"/>
          <w:numId w:val="1016"/>
        </w:numPr>
        <w:pStyle w:val="Compact"/>
      </w:pPr>
      <w:r>
        <w:rPr>
          <w:bCs/>
          <w:b/>
        </w:rPr>
        <w:t xml:space="preserve">Optimize Logistics:</w:t>
      </w:r>
      <w:r>
        <w:t xml:space="preserve"> </w:t>
      </w:r>
      <w:r>
        <w:t xml:space="preserve">Continuously evaluate and optimize transportation routes and modes to minimize distances and utilize the most carbon-efficient options available.</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oqyoovxqsp</dc:title>
  <dc:creator/>
  <dc:description>Detailed Product Carbon Footprint (PCF) analysis report for oqyoovxqsp by mwvhvgdmus, adhering to GHG Protocol standards and 2026 LSR updates.</dc:description>
  <dc:language>en</dc:language>
  <cp:keywords/>
  <dcterms:created xsi:type="dcterms:W3CDTF">2026-07-15T13:35:52Z</dcterms:created>
  <dcterms:modified xsi:type="dcterms:W3CDTF">2026-07-15T13:35:52Z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