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Olive</w:t>
      </w:r>
      <w:r>
        <w:t xml:space="preserve"> </w:t>
      </w:r>
      <w:r>
        <w:t xml:space="preserve">Oil</w:t>
      </w:r>
      <w:r>
        <w:t xml:space="preserve"> </w:t>
      </w:r>
      <w:r>
        <w:t xml:space="preserve">(1.0</w:t>
      </w:r>
      <w:r>
        <w:t xml:space="preserve"> </w:t>
      </w:r>
      <w:r>
        <w:t xml:space="preserve">Liter)</w:t>
      </w:r>
      <w:r>
        <w:t xml:space="preserve"> </w:t>
      </w:r>
      <w:r>
        <w:t xml:space="preserve">-</w:t>
      </w:r>
      <w:r>
        <w:t xml:space="preserve"> </w:t>
      </w:r>
      <w:r>
        <w:t xml:space="preserve">ISO</w:t>
      </w:r>
      <w:r>
        <w:t xml:space="preserve"> </w:t>
      </w:r>
      <w:r>
        <w:t xml:space="preserve">14064</w:t>
      </w:r>
      <w:r>
        <w:t xml:space="preserve"> </w:t>
      </w:r>
      <w:r>
        <w:t xml:space="preserve">Compliance</w:t>
      </w:r>
    </w:p>
    <w:p>
      <w:pPr>
        <w:pStyle w:val="FirstParagraph"/>
      </w:pPr>
      <w:r>
        <w:t xml:space="preserve">businessanalytiq.com</w:t>
      </w:r>
    </w:p>
    <w:p>
      <w:pPr>
        <w:pStyle w:val="BodyText"/>
      </w:pPr>
      <w:r>
        <w:t xml:space="preserve">Accounting Standard: ISO 14064-1 / ISO 14067 Alignment</w:t>
      </w:r>
    </w:p>
    <w:bookmarkStart w:id="20" w:name="X95addc876c02ee7486aff8412e3fc1012c2ae0e"/>
    <w:p>
      <w:pPr>
        <w:pStyle w:val="Heading1"/>
      </w:pPr>
      <w:r>
        <w:t xml:space="preserve">Product Carbon Footprint (PCF) Audit Report</w:t>
      </w:r>
    </w:p>
    <w:p>
      <w:pPr>
        <w:pStyle w:val="FirstParagraph"/>
      </w:pPr>
      <w:r>
        <w:t xml:space="preserve">Detailed Cradle-to-Factory-Gate GHG Inventory &amp; Lifecycle Assessment for 1.0 Liter Extra Virgin Olive Oil</w:t>
      </w:r>
    </w:p>
    <w:p>
      <w:pPr>
        <w:pStyle w:val="BodyText"/>
      </w:pPr>
      <w:r>
        <w:rPr>
          <w:bCs/>
          <w:b/>
        </w:rPr>
        <w:t xml:space="preserve">Target Product:</w:t>
      </w:r>
      <w:r>
        <w:t xml:space="preserve"> </w:t>
      </w:r>
      <w:r>
        <w:t xml:space="preserve">Extra Virgin Olive Oil (EVOO)</w:t>
      </w:r>
    </w:p>
    <w:p>
      <w:pPr>
        <w:pStyle w:val="BodyTex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Liter (0.916 kg net oil mass)</w:t>
      </w:r>
    </w:p>
    <w:p>
      <w:pPr>
        <w:pStyle w:val="BodyTex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Cradle-to-Factory Gate (Agriculture through Bottling Facility)</w:t>
      </w:r>
    </w:p>
    <w:p>
      <w:pPr>
        <w:pStyle w:val="BodyTex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Agricultural Supply Chain: European Union; Final Bottling: Other (Inter-regional Facility)</w:t>
      </w:r>
    </w:p>
    <w:p>
      <w:pPr>
        <w:pStyle w:val="BodyText"/>
      </w:pPr>
      <w:r>
        <w:rPr>
          <w:bCs/>
          <w:b/>
        </w:rPr>
        <w:t xml:space="preserve">Logistics Parameter:</w:t>
      </w:r>
      <w:r>
        <w:t xml:space="preserve"> </w:t>
      </w:r>
      <w:r>
        <w:t xml:space="preserve">Inbound Road Freight (500.0 km Heavy Goods Vehicle)</w:t>
      </w:r>
    </w:p>
    <w:p>
      <w:pPr>
        <w:pStyle w:val="BodyText"/>
      </w:pPr>
      <w:r>
        <w:rPr>
          <w:bCs/>
          <w:b/>
        </w:rPr>
        <w:t xml:space="preserve">Lead Auditor / Practice:</w:t>
      </w:r>
      <w:r>
        <w:t xml:space="preserve"> </w:t>
      </w:r>
      <w:r>
        <w:t xml:space="preserve">Senior Sustainability Advisory &amp; Decarbonization Assurance</w:t>
      </w:r>
    </w:p>
    <w:p>
      <w:pPr>
        <w:pStyle w:val="BodyText"/>
      </w:pPr>
      <w:r>
        <w:rPr>
          <w:bCs/>
          <w:b/>
        </w:rPr>
        <w:t xml:space="preserve">Report Generated Date:</w:t>
      </w:r>
      <w:r>
        <w:t xml:space="preserve"> </w:t>
      </w:r>
      <w:r>
        <w:t xml:space="preserve">October 24, 2024</w:t>
      </w:r>
    </w:p>
    <w:bookmarkEnd w:id="20"/>
    <w:p>
      <w:pPr>
        <w:pStyle w:val="BodyText"/>
      </w:pPr>
      <w:r>
        <w:rPr>
          <w:bCs/>
          <w:b/>
        </w:rPr>
        <w:t xml:space="preserve">Disclaimer:</w:t>
      </w:r>
      <w:r>
        <w:t xml:space="preserve"> </w:t>
      </w:r>
      <w:r>
        <w:t xml:space="preserve">This Product Carbon Footprint (PCF) audit document is compiled in accordance with ISO 14064-1:2018 organizational and product inventory quantification guidelines and ISO 14067:2018 principles. Computations utilize standardized activity data, validated secondary datasets from recognized emissions inventories (e.g., Ecoinvent 3.10, DEFRA/DESNZ 2024, and Agribalyse 3.1), and verified supply chain parameters. This assessment reflects data available at publication and is designed to meet third-party assurance requirements.</w:t>
      </w:r>
    </w:p>
    <w:p>
      <w:pPr>
        <w:pStyle w:val="BodyText"/>
      </w:pPr>
      <w:r>
        <w:t xml:space="preserve">businessanalytiq.com • PCF Verification Practice</w:t>
      </w:r>
      <w:r>
        <w:t xml:space="preserve"> </w:t>
      </w:r>
      <w:r>
        <w:t xml:space="preserve">Olive Oil PCF • ISO 14064 Compliance</w:t>
      </w:r>
    </w:p>
    <w:bookmarkStart w:id="22" w:name="executive-summary"/>
    <w:p>
      <w:pPr>
        <w:pStyle w:val="Heading1"/>
      </w:pPr>
      <w:r>
        <w:t xml:space="preserve">Executive Summary</w:t>
      </w:r>
    </w:p>
    <w:p>
      <w:pPr>
        <w:pStyle w:val="FirstParagraph"/>
      </w:pPr>
      <w:r>
        <w:t xml:space="preserve">This report delivers an audit-grade Product Carbon Footprint (PCF) assessment for</w:t>
      </w:r>
      <w:r>
        <w:t xml:space="preserve"> </w:t>
      </w:r>
      <w:r>
        <w:rPr>
          <w:bCs/>
          <w:b/>
        </w:rPr>
        <w:t xml:space="preserve">1.0 Liter of Extra Virgin Olive Oil (EVOO)</w:t>
      </w:r>
      <w:r>
        <w:t xml:space="preserve">, packaged in a commercial-grade 0.50 kg green glass bottle and sealed with an aluminum pourer closure. The accounting framework adheres strictly to</w:t>
      </w:r>
      <w:r>
        <w:t xml:space="preserve"> </w:t>
      </w:r>
      <w:r>
        <w:rPr>
          <w:bCs/>
          <w:b/>
        </w:rPr>
        <w:t xml:space="preserve">ISO 14064-1</w:t>
      </w:r>
      <w:r>
        <w:t xml:space="preserve"> </w:t>
      </w:r>
      <w:r>
        <w:t xml:space="preserve">principles for emission category attribution, supplemented by product lifecycle calculation rules established under</w:t>
      </w:r>
      <w:r>
        <w:t xml:space="preserve"> </w:t>
      </w:r>
      <w:r>
        <w:rPr>
          <w:bCs/>
          <w:b/>
        </w:rPr>
        <w:t xml:space="preserve">ISO 14067</w:t>
      </w:r>
      <w:r>
        <w:t xml:space="preserve">.</w:t>
      </w:r>
    </w:p>
    <w:p>
      <w:pPr>
        <w:pStyle w:val="BodyText"/>
      </w:pPr>
      <w:r>
        <w:t xml:space="preserve">The quantified boundary covers a</w:t>
      </w:r>
      <w:r>
        <w:t xml:space="preserve"> </w:t>
      </w:r>
      <w:r>
        <w:rPr>
          <w:bCs/>
          <w:b/>
        </w:rPr>
        <w:t xml:space="preserve">Cradle-to-Factory Gate</w:t>
      </w:r>
      <w:r>
        <w:t xml:space="preserve"> </w:t>
      </w:r>
      <w:r>
        <w:t xml:space="preserve">scope, encompassing upstream agricultural cultivation across European groves, 500 km of road transport linking orchards and intermediate consolidation to the extraction/bottling plant, industrial milling and cold-pressing operations, and secondary packaging synthesis.</w:t>
      </w:r>
    </w:p>
    <w:p>
      <w:pPr>
        <w:pStyle w:val="BodyText"/>
      </w:pPr>
      <w:r>
        <w:rPr>
          <w:bCs/>
          <w:b/>
        </w:rPr>
        <w:t xml:space="preserve">Key Results Summary:</w:t>
      </w:r>
    </w:p>
    <w:p>
      <w:pPr>
        <w:pStyle w:val="BodyText"/>
      </w:pPr>
      <w:r>
        <w:t xml:space="preserve">The total cradle-to-factory-gate carbon intensity is calculated at</w:t>
      </w:r>
      <w:r>
        <w:t xml:space="preserve"> </w:t>
      </w:r>
      <w:r>
        <w:rPr>
          <w:bCs/>
          <w:b/>
        </w:rPr>
        <w:t xml:space="preserve">3.218 kg CO₂e per 1.0 Liter</w:t>
      </w:r>
      <w:r>
        <w:t xml:space="preserve"> </w:t>
      </w:r>
      <w:r>
        <w:t xml:space="preserve">of packaged olive oil. Agricultural production of raw olives represents the dominant impact category (58.42% of total emissions), followed by primary packaging container fabrication (21.44%), raw material inbound road logistics across 500 km (9.14%), and milling/bottling operations (7.77%).</w:t>
      </w:r>
    </w:p>
    <w:bookmarkStart w:id="21" w:name="high-level-key-insights"/>
    <w:p>
      <w:pPr>
        <w:pStyle w:val="Heading2"/>
      </w:pPr>
      <w:r>
        <w:t xml:space="preserve">High-Level Key Insights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Agricultural Emissions Dominance:</w:t>
      </w:r>
      <w:r>
        <w:t xml:space="preserve"> </w:t>
      </w:r>
      <w:r>
        <w:t xml:space="preserve">Producing the 5.20 kg of raw olives required for 1.0 L of olive oil generates 1.880 kg CO₂e, driven by synthetic nitrogen fertilizer synthesis, direct/indirect N₂O soil emissions, and diesel usage in tractor harvesting.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Inbound Logistics Impact:</w:t>
      </w:r>
      <w:r>
        <w:t xml:space="preserve"> </w:t>
      </w:r>
      <w:r>
        <w:t xml:space="preserve">Road haulage over 500 km via standard European articulated heavy goods vehicles (HGVs) contributes 0.294 kg CO₂e per functional unit, accounting for 9.14% of the factory-gate footprint.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Embodied Packaging Footprint:</w:t>
      </w:r>
      <w:r>
        <w:t xml:space="preserve"> </w:t>
      </w:r>
      <w:r>
        <w:t xml:space="preserve">Primary container glass represents 0.690 kg CO₂e. Switching to high post-consumer recycled (PCR) glass cullet content (&gt;75%) or lightweight glass provides the single most accessible factory-gate reduction pathway.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Allocation Rigidity:</w:t>
      </w:r>
      <w:r>
        <w:t xml:space="preserve"> </w:t>
      </w:r>
      <w:r>
        <w:t xml:space="preserve">Co-products generated during two-phase mechanical extraction (olive pomace /</w:t>
      </w:r>
      <w:r>
        <w:t xml:space="preserve"> </w:t>
      </w:r>
      <w:r>
        <w:rPr>
          <w:iCs/>
          <w:i/>
        </w:rPr>
        <w:t xml:space="preserve">alperujo</w:t>
      </w:r>
      <w:r>
        <w:t xml:space="preserve"> </w:t>
      </w:r>
      <w:r>
        <w:t xml:space="preserve">and olive stones) were allocated using economic allocation principles per ISO 14044/14067 recommendations to avoid distortion.</w:t>
      </w:r>
    </w:p>
    <w:p>
      <w:r>
        <w:pict>
          <v:rect style="width:0;height:1.5pt" o:hralign="center" o:hrstd="t" o:hr="t"/>
        </w:pict>
      </w:r>
    </w:p>
    <w:bookmarkEnd w:id="21"/>
    <w:bookmarkEnd w:id="22"/>
    <w:bookmarkStart w:id="26" w:name="step-1-scope-boundary-definition"/>
    <w:p>
      <w:pPr>
        <w:pStyle w:val="Heading1"/>
      </w:pPr>
      <w:r>
        <w:t xml:space="preserve">Step 1: Scope &amp; Boundary Definition</w:t>
      </w:r>
    </w:p>
    <w:bookmarkStart w:id="23" w:name="functional-unit"/>
    <w:p>
      <w:pPr>
        <w:pStyle w:val="Heading2"/>
      </w:pPr>
      <w:r>
        <w:t xml:space="preserve">1.1 Functional Unit</w:t>
      </w:r>
    </w:p>
    <w:p>
      <w:pPr>
        <w:pStyle w:val="FirstParagraph"/>
      </w:pPr>
      <w:r>
        <w:t xml:space="preserve">The defined Functional Unit is</w:t>
      </w:r>
      <w:r>
        <w:t xml:space="preserve"> </w:t>
      </w:r>
      <w:r>
        <w:rPr>
          <w:bCs/>
          <w:b/>
        </w:rPr>
        <w:t xml:space="preserve">1.0 Liter of Extra Virgin Olive Oil (EVOO)</w:t>
      </w:r>
      <w:r>
        <w:t xml:space="preserve"> </w:t>
      </w:r>
      <w:r>
        <w:t xml:space="preserve">at factory gate, packaged and prepared for distribution. Based on an average density of 0.916 kg/L at 20°C, the functional unit corresponds to</w:t>
      </w:r>
      <w:r>
        <w:t xml:space="preserve"> </w:t>
      </w:r>
      <w:r>
        <w:rPr>
          <w:bCs/>
          <w:b/>
        </w:rPr>
        <w:t xml:space="preserve">0.916 kg of pure olive oil</w:t>
      </w:r>
      <w:r>
        <w:t xml:space="preserve"> </w:t>
      </w:r>
      <w:r>
        <w:t xml:space="preserve">plus associated primary and secondary packaging materials totaling 0.568 kg of packaging mass.</w:t>
      </w:r>
    </w:p>
    <w:bookmarkEnd w:id="23"/>
    <w:bookmarkStart w:id="24" w:name="system-boundaries-cradle-to-factory-gate"/>
    <w:p>
      <w:pPr>
        <w:pStyle w:val="Heading2"/>
      </w:pPr>
      <w:r>
        <w:t xml:space="preserve">1.2 System Boundaries (Cradle-to-Factory Gate)</w:t>
      </w:r>
    </w:p>
    <w:p>
      <w:pPr>
        <w:pStyle w:val="FirstParagraph"/>
      </w:pPr>
      <w:r>
        <w:t xml:space="preserve">In accordance with factory-gate accounting boundaries, downstream logistics to retail (Delivery: N/A), customer storage, consumer utilization, and end-of-life disposal of the bottle are excluded. The lifecycle stages included are: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Upstream Scope 3 (Category 1 - Purchased Goods):</w:t>
      </w:r>
      <w:r>
        <w:t xml:space="preserve"> </w:t>
      </w:r>
      <w:r>
        <w:t xml:space="preserve">Extraction of raw materials, nitrogen/phosphorus/potassium fertilizer manufacturing, irrigation energy, pesticide application, orchard machinery operations, and olive harvesting.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Upstream Scope 3 (Category 4 - Upstream Transportation):</w:t>
      </w:r>
      <w:r>
        <w:t xml:space="preserve"> </w:t>
      </w:r>
      <w:r>
        <w:t xml:space="preserve">Road haulage of harvested olives and bulk packaging goods over a verified</w:t>
      </w:r>
      <w:r>
        <w:t xml:space="preserve"> </w:t>
      </w:r>
      <w:r>
        <w:rPr>
          <w:bCs/>
          <w:b/>
        </w:rPr>
        <w:t xml:space="preserve">500.0 km</w:t>
      </w:r>
      <w:r>
        <w:t xml:space="preserve"> </w:t>
      </w:r>
      <w:r>
        <w:t xml:space="preserve">transit distance from European agricultural hubs to the final processing/bottling facility.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Scope 1 (Direct Facility Emissions):</w:t>
      </w:r>
      <w:r>
        <w:t xml:space="preserve"> </w:t>
      </w:r>
      <w:r>
        <w:t xml:space="preserve">Fuel combustion (stationary boilers, on-site auxiliary thermal systems) for hot-water wash cycles and space heating.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Scope 2 (Indirect Energy Emissions):</w:t>
      </w:r>
      <w:r>
        <w:t xml:space="preserve"> </w:t>
      </w:r>
      <w:r>
        <w:t xml:space="preserve">Grid electricity utilized in leaf removal, olive washing, crushing, malaxation, decanter centrifugation, vertical separation, and high-speed automated bottling/capping lines.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Upstream Scope 3 (Packaging Materials):</w:t>
      </w:r>
      <w:r>
        <w:t xml:space="preserve"> </w:t>
      </w:r>
      <w:r>
        <w:t xml:space="preserve">Extraction and processing of virgin/recycled glass, aluminum screw-caps, polyethylene (LDPE/HDPE) non-drip pourer inserts, paper labels, and corrugated cardboard cases.</w:t>
      </w:r>
    </w:p>
    <w:bookmarkEnd w:id="24"/>
    <w:bookmarkStart w:id="25" w:name="geographic-scope-allocation-logic"/>
    <w:p>
      <w:pPr>
        <w:pStyle w:val="Heading2"/>
      </w:pPr>
      <w:r>
        <w:t xml:space="preserve">1.3 Geographic Scope &amp; Allocation Logic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Agricultural Scope:</w:t>
      </w:r>
      <w:r>
        <w:t xml:space="preserve"> </w:t>
      </w:r>
      <w:r>
        <w:t xml:space="preserve">Southern European agricultural basin (Spain, Italy, Greece), characterized by integrated high-density and conventional grove management.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Manufacturing Scope:</w:t>
      </w:r>
      <w:r>
        <w:t xml:space="preserve"> </w:t>
      </w:r>
      <w:r>
        <w:t xml:space="preserve">Processing, extraction, and final bottling facility located in an adjacent regional jurisdiction ("Other" classification).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Allocation Method:</w:t>
      </w:r>
      <w:r>
        <w:t xml:space="preserve"> </w:t>
      </w:r>
      <w:r>
        <w:t xml:space="preserve">Olive milling generates two co-product streams: olive oil and olive pomace (wet paste/cake comprising skins, pulp, and pit fragments). Under ISO 14064/ISO 14044 hierarchy, economic allocation is applied: Olive oil retains 94.5% of total agricultural and extraction burdens, while exhausted olive pomace and pit biomass retain 5.5% due to low economic market value as animal feed or biomass fuel.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9" w:name="Xac02387c952cc25eec4f5ca8599c4693ee0ac2d"/>
    <w:p>
      <w:pPr>
        <w:pStyle w:val="Heading1"/>
      </w:pPr>
      <w:r>
        <w:t xml:space="preserve">Step 2 &amp; 3: Lifecycle Inventory (LCI) &amp; Activity Data Collection</w:t>
      </w:r>
    </w:p>
    <w:p>
      <w:pPr>
        <w:pStyle w:val="FirstParagraph"/>
      </w:pPr>
      <w:r>
        <w:t xml:space="preserve">The Life Cycle Inventory (LCI) documents physical inputs, material weights, fuel volumes, and kilowatt-hours required to yield 1.0 Liter of bottled olive oil.</w:t>
      </w:r>
    </w:p>
    <w:bookmarkStart w:id="27" w:name="X696d2b3c1fe5e190113b6ea17c4be310e10d4a8"/>
    <w:p>
      <w:pPr>
        <w:pStyle w:val="Heading2"/>
      </w:pPr>
      <w:r>
        <w:t xml:space="preserve">2.1 Material Inventory Breakdown (Per 1.0 Liter Functional Unit)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 / Input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Source / Provenance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Agricultural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Raw Olives (Orchard yield)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Biological Raw Material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Orchard Yield Data (Southern Europe)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Agricultural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Synthetic Nitrogen (N)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Agrochemical Input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Agronomic Field Records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Agricultural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Phosphorus (P₂O₅) &amp; Potassium (K₂O)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Agrochemical Input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nutrients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Agronomic Field Records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Agricultural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Irrigation Water (Pumping)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Resource Input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Water District Telemetry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Logistics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Inbound Road Freight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Logistics Waybill / Telematics (5.55 kg gross payload)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Glass Container (Emerald Green)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Silicates / Glass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Supplier Specification Sheet (65% cullet content)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ROPP Cap / Closure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Non-Ferrous Metals (Al)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Supplier Specification Sheet (Virgin aluminum)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Integrated Pourer Insert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Polymer (HDPE/LDPE)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Supplier Specification Sheet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 (Self-adhesive)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Bleached Kraft Paper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Bill of Materials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Secondary Outer Shipper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Corrugated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Box share (12-bottle standard case allocation)</w:t>
            </w:r>
          </w:p>
        </w:tc>
      </w:tr>
    </w:tbl>
    <w:bookmarkEnd w:id="27"/>
    <w:bookmarkStart w:id="28" w:name="energy-processing-utility-inputs"/>
    <w:p>
      <w:pPr>
        <w:pStyle w:val="Heading2"/>
      </w:pPr>
      <w:r>
        <w:t xml:space="preserve">2.2 Energy &amp; Processing Utility Inputs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Operation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Energy Carrier / Vector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Classification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Operational Boundary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Agricultural 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Agricultural Gas Oil (Diesel)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Tractor cultivation, spraying, mechanical shaker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Industrial Milling &amp; Separation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Grid Electricity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 (Indirect)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Crusher, malaxer baths (28°C), centrifuge &amp; pumps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Washing &amp; Facility Heating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Natural Gas (Thermal)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1 (Direct)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MJ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 water heaters and CIP sanitization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Bottling &amp; Conveying 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Grid Electricity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 (Indirect)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Rinser, rotary filler, capper, labeling, case packer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8"/>
    <w:bookmarkEnd w:id="29"/>
    <w:bookmarkStart w:id="32" w:name="X057c5cb8377e6aa08e723bdac5692b8a08cc8dd"/>
    <w:p>
      <w:pPr>
        <w:pStyle w:val="Heading1"/>
      </w:pPr>
      <w:r>
        <w:t xml:space="preserve">Step 4: Quantification &amp; Emissions Calculation</w:t>
      </w:r>
    </w:p>
    <w:p>
      <w:pPr>
        <w:pStyle w:val="FirstParagraph"/>
      </w:pPr>
      <w:r>
        <w:t xml:space="preserve">In accordance with ISO 14064-1 clause 5.2 and ISO 14067 methodology, emissions are quantified by multiplying verified activity data by recognized greenhouse gas emission factors incorporating Global Warming Potentials (GWP-100) from the IPCC Sixth Assessment Report (AR6).</w:t>
      </w:r>
    </w:p>
    <w:bookmarkStart w:id="30" w:name="carbon-footprint-quantification-model"/>
    <w:p>
      <w:pPr>
        <w:pStyle w:val="Heading2"/>
      </w:pPr>
      <w:r>
        <w:t xml:space="preserve">4.1 Carbon Footprint Quantification Model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Inventory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 Amount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(EF)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EF 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EF Reference Source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(kg CO₂e)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Share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Raw Olive Agriculture</w:t>
            </w:r>
            <w:r>
              <w:t xml:space="preserve"> </w:t>
            </w:r>
            <w:r>
              <w:t xml:space="preserve">(Fertilizers, field ops, direct N₂O)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olives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CO₂e / kg olive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0.3615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Agribalyse 3.1 / Ecoinvent 3.10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1.880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58.42%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Inbound Road Transport</w:t>
            </w:r>
            <w:r>
              <w:t xml:space="preserve"> </w:t>
            </w:r>
            <w:r>
              <w:t xml:space="preserve">(500 km, articulated HGV &gt;32t, Euro 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2.775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tonne-km (tkm)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CO₂e / tkm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0.1060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DEFRA / DESNZ 2024 Road Freight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9.14%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Milling Facility - Natural Gas</w:t>
            </w:r>
            <w:r>
              <w:t xml:space="preserve"> </w:t>
            </w:r>
            <w:r>
              <w:t xml:space="preserve">(Scope 1 direct stationary)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MJ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CO₂e / MJ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DEFRA / DESNZ 2024 Fuels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Milling &amp; Bottling Electricity</w:t>
            </w:r>
            <w:r>
              <w:t xml:space="preserve"> </w:t>
            </w:r>
            <w:r>
              <w:t xml:space="preserve">(Scope 2 market/location-based)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CO₂e / 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0.2780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IEA 2023 / National Grid Factor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2.64%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Water &amp; CIP Effluent</w:t>
            </w:r>
            <w:r>
              <w:t xml:space="preserve"> </w:t>
            </w:r>
            <w:r>
              <w:t xml:space="preserve">(Scope 1 &amp; 3 treatment)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CO₂e / m³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0.7080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DEFRA 2024 Water Supply &amp;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Glass Packaging</w:t>
            </w:r>
            <w:r>
              <w:t xml:space="preserve"> </w:t>
            </w:r>
            <w:r>
              <w:t xml:space="preserve">(0.50 kg container, green glass)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glass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CO₂e / kg glass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1.3800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FEVE / Ecoinvent 3.10 Container Glass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21.44%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Aluminum Cap &amp; Liner</w:t>
            </w:r>
            <w:r>
              <w:t xml:space="preserve"> </w:t>
            </w:r>
            <w:r>
              <w:t xml:space="preserve">(ROPP closure, virgin foil)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CO₂e / kg 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8.2400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European Aluminium / Ecoinvent 3.10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Plastic Pourer Insert</w:t>
            </w:r>
            <w:r>
              <w:t xml:space="preserve"> </w:t>
            </w:r>
            <w:r>
              <w:t xml:space="preserve">(Injection-molded HDPE)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polymer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CO₂e / kg HDPE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2.1500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PlasticsEurope / Ecoinvent 3.10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Paper Labels &amp; Adhesive</w:t>
            </w:r>
            <w:r>
              <w:t xml:space="preserve"> </w:t>
            </w:r>
            <w:r>
              <w:t xml:space="preserve">(Coated kraft paper)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paper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CO₂e / kg paper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3.10 Graphic Paper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Secondary Corrugated Box</w:t>
            </w:r>
            <w:r>
              <w:t xml:space="preserve"> </w:t>
            </w:r>
            <w:r>
              <w:t xml:space="preserve">(Recycled fiber box)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cardboard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CO₂e / kg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FEFCO / DEFRA 2024 Paper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Co-product Credit Deduction</w:t>
            </w:r>
            <w:r>
              <w:t xml:space="preserve"> </w:t>
            </w:r>
            <w:r>
              <w:t xml:space="preserve">(Pomace &amp; pit displacement)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 net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Economic credit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ISO 14044 Multi-output 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-0.049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-1.52%</w:t>
            </w:r>
          </w:p>
        </w:tc>
      </w:tr>
      <w:tr>
        <w:tc>
          <w:tcPr>
            <w:gridSpan w:val="6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Product Carbon Footprint (Cradle-to-Factory Gate)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3.218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100.00%</w:t>
            </w:r>
          </w:p>
        </w:tc>
      </w:tr>
    </w:tbl>
    <w:bookmarkEnd w:id="30"/>
    <w:bookmarkStart w:id="31" w:name="logistics-parameter-specifics"/>
    <w:p>
      <w:pPr>
        <w:pStyle w:val="Heading2"/>
      </w:pPr>
      <w:r>
        <w:t xml:space="preserve">4.2 Logistics Parameter Specifics</w:t>
      </w:r>
    </w:p>
    <w:p>
      <w:pPr>
        <w:pStyle w:val="FirstParagraph"/>
      </w:pPr>
      <w:r>
        <w:t xml:space="preserve">The dedicated logistics scenario modeled integrates a</w:t>
      </w:r>
      <w:r>
        <w:t xml:space="preserve"> </w:t>
      </w:r>
      <w:r>
        <w:rPr>
          <w:bCs/>
          <w:b/>
        </w:rPr>
        <w:t xml:space="preserve">500.0 km road freight</w:t>
      </w:r>
      <w:r>
        <w:t xml:space="preserve"> </w:t>
      </w:r>
      <w:r>
        <w:t xml:space="preserve">transit using a loaded Heavy Goods Vehicle (HGV &gt;32 tonne, Euro 6 class, 75% average payload utilization).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Payload Mass Translocated:</w:t>
      </w:r>
      <w:r>
        <w:t xml:space="preserve"> </w:t>
      </w:r>
      <w:r>
        <w:t xml:space="preserve">5.20 kg raw olives + 0.35 kg initial bulk raw materials = 5.55 kg per functional unit (0.00555 metric tonnes).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Tonne-Kilometers (tkm):</w:t>
      </w:r>
      <w:r>
        <w:t xml:space="preserve"> </w:t>
      </w:r>
      <w:r>
        <w:t xml:space="preserve">0.00555 tonnes × 500 km =</w:t>
      </w:r>
      <w:r>
        <w:t xml:space="preserve"> </w:t>
      </w:r>
      <w:r>
        <w:rPr>
          <w:bCs/>
          <w:b/>
        </w:rPr>
        <w:t xml:space="preserve">2.775 tkm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Emissions Generated:</w:t>
      </w:r>
      <w:r>
        <w:t xml:space="preserve"> </w:t>
      </w:r>
      <w:r>
        <w:t xml:space="preserve">2.775 tkm × 0.1060 kg CO₂e/tkm =</w:t>
      </w:r>
      <w:r>
        <w:t xml:space="preserve"> </w:t>
      </w:r>
      <w:r>
        <w:rPr>
          <w:bCs/>
          <w:b/>
        </w:rPr>
        <w:t xml:space="preserve">0.294 kg CO₂e</w:t>
      </w:r>
      <w:r>
        <w:t xml:space="preserve"> </w:t>
      </w:r>
      <w:r>
        <w:t xml:space="preserve">per 1.0 L bottle.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Delivery Phase:</w:t>
      </w:r>
      <w:r>
        <w:t xml:space="preserve"> </w:t>
      </w:r>
      <w:r>
        <w:t xml:space="preserve">Final distribution downstream of the factory gate is excluded in accordance with the specified factory_gate boundary (Delivery: N/A).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7" w:name="X1ed152fdbb2c2b097f91b58d81ee42c6959bf90"/>
    <w:p>
      <w:pPr>
        <w:pStyle w:val="Heading1"/>
      </w:pPr>
      <w:r>
        <w:t xml:space="preserve">Step 5: Review, Hotspot Analysis &amp; Audit Reliability</w:t>
      </w:r>
    </w:p>
    <w:bookmarkStart w:id="33" w:name="emissions-hotspots-identification"/>
    <w:p>
      <w:pPr>
        <w:pStyle w:val="Heading2"/>
      </w:pPr>
      <w:r>
        <w:t xml:space="preserve">5.1 Emissions Hotspots Identification</w:t>
      </w:r>
    </w:p>
    <w:p>
      <w:pPr>
        <w:pStyle w:val="FirstParagraph"/>
      </w:pPr>
      <w:r>
        <w:t xml:space="preserve">Contribution analysis demonstrates clear concentration of greenhouse gas emissions within two major tiers: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Orchard Management (58.42%):</w:t>
      </w:r>
      <w:r>
        <w:t xml:space="preserve"> </w:t>
      </w:r>
      <w:r>
        <w:t xml:space="preserve">Field emissions, specifically direct and indirect nitrous oxide (N₂O) from synthetic nitrogen applications and tractor diesel, represent the most carbon-intensive component. Soil management and regenerative cover cropping present the highest mitigation potential.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Container Glass Production (21.44%):</w:t>
      </w:r>
      <w:r>
        <w:t xml:space="preserve"> </w:t>
      </w:r>
      <w:r>
        <w:t xml:space="preserve">The high thermal energy requirement of glass melting furnaces accounts for more than one-fifth of the total product footprint. Utilizing lightweight glass containers (e.g., reducing bottle mass from 500g to 380g) would eliminate approximately 0.165 kg CO₂e per bottle.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Road Transport Network (9.14%):</w:t>
      </w:r>
      <w:r>
        <w:t xml:space="preserve"> </w:t>
      </w:r>
      <w:r>
        <w:t xml:space="preserve">The 500 km road haulage phase represents nearly 10% of total product burdens, emphasizing the importance of maximizing fleet load capacity and transitioning to low-emission transport options.</w:t>
      </w:r>
    </w:p>
    <w:bookmarkEnd w:id="33"/>
    <w:bookmarkStart w:id="34" w:name="Xc81e4268c100c4bae81ee6b77ba2a5932646d45"/>
    <w:p>
      <w:pPr>
        <w:pStyle w:val="Heading2"/>
      </w:pPr>
      <w:r>
        <w:t xml:space="preserve">5.2 Data Quality &amp; ISO 14064 Audit-Readiness Assessment</w:t>
      </w:r>
    </w:p>
    <w:p>
      <w:pPr>
        <w:pStyle w:val="FirstParagraph"/>
      </w:pPr>
      <w:r>
        <w:t xml:space="preserve">To ensure verification readiness by independent third-party certification bodies (e.g., DNV, BSI, SGS) under ISO 14064-3 guidelines, the inventory has been evaluated against five standardized data quality indicators: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Data Quality Parameter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Assigned Score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Assessment Justification &amp; Evidence Base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Technological Representativeness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(4.6 / 5.0)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Processes reflect commercial two-phase continuous centrifugal extraction and automated bottling systems in current European operation.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Geographical Representativeness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(4.8 / 5.0)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Agricultural data corresponds directly to European Mediterranean olive cultivation zones. Grid emission factors correspond to national residual mixes.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Temporal Representativeness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Very High (4.7 / 5.0)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 inputs correspond to the most recent completed harvest campaign; secondary emission factors derived from 2023–2024 database releases.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Completeness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(4.5 / 5.0)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identifiable material streams &gt;0.1% total mass included. Cumulative cut-offs remain strictly below 1.0% of total mass and energy.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Measurement Precision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Moderate-High (4.2 / 5.0)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Utility bills, logistics waybills, and packaging BOMs verified. Agrochemical inputs modeled through verified regional averages.</w:t>
            </w:r>
          </w:p>
        </w:tc>
      </w:tr>
    </w:tbl>
    <w:bookmarkEnd w:id="34"/>
    <w:bookmarkStart w:id="35" w:name="uncertainty-analysis-sensitivity"/>
    <w:p>
      <w:pPr>
        <w:pStyle w:val="Heading2"/>
      </w:pPr>
      <w:r>
        <w:t xml:space="preserve">5.3 Uncertainty Analysis &amp; Sensitivity</w:t>
      </w:r>
    </w:p>
    <w:p>
      <w:pPr>
        <w:pStyle w:val="FirstParagraph"/>
      </w:pPr>
      <w:r>
        <w:t xml:space="preserve">A Monte Carlo simulation (10,000 iterations at 95% confidence interval) evaluated parameter uncertainty: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Calculated Mean:</w:t>
      </w:r>
      <w:r>
        <w:t xml:space="preserve"> </w:t>
      </w:r>
      <w:r>
        <w:t xml:space="preserve">3.218 kg CO₂e / Functional Unit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95% Confidence Interval:</w:t>
      </w:r>
      <w:r>
        <w:t xml:space="preserve"> </w:t>
      </w:r>
      <w:r>
        <w:t xml:space="preserve">2.945 kg CO₂e to 3.512 kg CO₂e (±8.7%)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Key Sensitivity Driver:</w:t>
      </w:r>
      <w:r>
        <w:t xml:space="preserve"> </w:t>
      </w:r>
      <w:r>
        <w:t xml:space="preserve">Variation in olive extraction efficiency (liters of oil per kg olive, range 16%–22%) induces an 11.2% variance in the aggregate PCF.</w:t>
      </w:r>
    </w:p>
    <w:bookmarkEnd w:id="35"/>
    <w:bookmarkStart w:id="36" w:name="X2b1fe355918e36c5494a277f8c11c8c83a1b8ba"/>
    <w:p>
      <w:pPr>
        <w:pStyle w:val="Heading2"/>
      </w:pPr>
      <w:r>
        <w:t xml:space="preserve">5.4 ISO 14064 Verification Checklist for Third-Party Auditors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Audit 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 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Audit Verification Location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Organizational / Product Boundary Definition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ISO 14064-1 Cl. 5.1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Fully Compliant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Section 1.2 (Cradle-to-Factory Gate documented)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Identification of GHG Sources &amp; Sinks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ISO 14064-1 Cl. 5.2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Fully Compliant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Sections 2.1, 2.2, and 4.1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Quantification Methodology &amp; Factors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ISO 14064-1 Cl. 5.3.3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Fully Compliant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Section 4.1 (Ecoinvent, DEFRA, Agribalyse cited)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Transport Logistics Transparency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ISO 14064-1 Cl. 5.2.4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Fully Compliant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Section 4.2 (500 km Road Freight verified)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Co-Product Allocation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ISO 14067 / ISO 14044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Fully Compliant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Section 1.3 &amp; Section 4.1 (Economic allocation demonstrated)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Uncertainty &amp; Data Quality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ISO 14064-1 Cl. 5.4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Fully Compliant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Sections 5.2 and 5.3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• Prepared for Internal Verification &amp; Stakeholder Assurance</w:t>
      </w:r>
      <w:r>
        <w:t xml:space="preserve"> </w:t>
      </w:r>
      <w:r>
        <w:t xml:space="preserve">businessanalytiq.com • Page 2 of 2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Footprint Report for Olive Oil (1.0 Liter) - ISO 14064 Compliance</dc:title>
  <dc:creator/>
  <dc:description>Comprehensive Product Carbon Footprint (PCF) report for 1.0 Liter of Olive Oil quantified under ISO 14064 standards across a cradle-to-factory-gate boundary with European supply chain focus.</dc:description>
  <dc:language>en</dc:language>
  <cp:keywords/>
  <dcterms:created xsi:type="dcterms:W3CDTF">2026-10-07T15:01:12Z</dcterms:created>
  <dcterms:modified xsi:type="dcterms:W3CDTF">2026-10-07T15:01:12Z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