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ofilwljuxj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ofilwljuxj</w:t>
      </w:r>
    </w:p>
    <w:p>
      <w:pPr>
        <w:pStyle w:val="BodyText"/>
      </w:pPr>
      <w:r>
        <w:t xml:space="preserve">Company: vxuriykwun</w:t>
      </w:r>
    </w:p>
    <w:p>
      <w:pPr>
        <w:pStyle w:val="BodyText"/>
      </w:pPr>
      <w:r>
        <w:t xml:space="preserve">Senior Sustainability Consultant: mfyylhphfo</w:t>
      </w:r>
    </w:p>
    <w:p>
      <w:pPr>
        <w:pStyle w:val="BodyText"/>
      </w:pPr>
      <w:r>
        <w:t xml:space="preserve">Accounting Standard: GHG Protocol</w:t>
      </w:r>
    </w:p>
    <w:p>
      <w:pPr>
        <w:pStyle w:val="BodyText"/>
      </w:pPr>
      <w:r>
        <w:rPr>
          <w:bCs/>
          <w:b/>
        </w:rPr>
        <w:t xml:space="preserve">Disclaimer:</w:t>
      </w:r>
      <w:r>
        <w:t xml:space="preserve"> </w:t>
      </w:r>
      <w:r>
        <w:t xml:space="preserve">This report is generated based on available data and industry standards at the time of publication. The accuracy of the analysis relies on the completeness and reliability of the provided input parameters and publicly available emission factors. Future updates in data, methodologies, or regulations may alter the reported figures.</w:t>
      </w:r>
    </w:p>
    <w:bookmarkEnd w:id="20"/>
    <w:bookmarkStart w:id="21" w:name="X4a83ee26717e25b19f9d24582fab1138366b876"/>
    <w:p>
      <w:pPr>
        <w:pStyle w:val="Heading1"/>
      </w:pPr>
      <w:r>
        <w:t xml:space="preserve">Product Carbon Footprint Analysis for ofilwljuxj</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mfyylhphfo</w:t>
      </w:r>
    </w:p>
    <w:p>
      <w:pPr>
        <w:pStyle w:val="BodyText"/>
      </w:pPr>
      <w:r>
        <w:rPr>
          <w:bCs/>
          <w:b/>
        </w:rPr>
        <w:t xml:space="preserve">Company:</w:t>
      </w:r>
      <w:r>
        <w:t xml:space="preserve"> </w:t>
      </w:r>
      <w:r>
        <w:t xml:space="preserve">vxuriykwun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ofilwljuxj</w:t>
      </w:r>
      <w:r>
        <w:t xml:space="preserve">, manufactured by</w:t>
      </w:r>
      <w:r>
        <w:t xml:space="preserve"> </w:t>
      </w:r>
      <w:r>
        <w:rPr>
          <w:bCs/>
          <w:b/>
        </w:rPr>
        <w:t xml:space="preserve">vxuriykwun</w:t>
      </w:r>
      <w:r>
        <w:t xml:space="preserve">. The analysis, conducted by Senior Sustainability Consultant</w:t>
      </w:r>
      <w:r>
        <w:t xml:space="preserve"> </w:t>
      </w:r>
      <w:r>
        <w:rPr>
          <w:bCs/>
          <w:b/>
        </w:rPr>
        <w:t xml:space="preserve">mfyylhphfo</w:t>
      </w:r>
      <w:r>
        <w:t xml:space="preserve">, adheres to the GHG Protocol accounting standard, incorporating the 2026 Land Sector and Removals (LSR) update and ensuring at least 95% Scope 3 coverage. The primary goal is to quantify the greenhouse gas (GHG) emissions across the product\'s lifecycle, from raw material acquisition to end-of-life, identifying key emission hotspots and informing strategic sustainability initiatives.</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PCF analysis is conducted in strict accordance with the</w:t>
      </w:r>
      <w:r>
        <w:t xml:space="preserve"> </w:t>
      </w:r>
      <w:r>
        <w:rPr>
          <w:bCs/>
          <w:b/>
        </w:rPr>
        <w:t xml:space="preserve">GHG Protocol Product Standard (A Life Cycle Approach to Assessing Greenhouse Gas Emissions)</w:t>
      </w:r>
      <w:r>
        <w:t xml:space="preserve">. Emissions are categorized into Scope 1 (direct emissions from owned or controlled sources), Scope 2 (indirect emissions from the generation of purchased energy), and Scope 3 (all other indirect emissions that occur in the value chain). Furthermore, the analysis incorporates requirements from the 2026 Land Sector and Removals (LSR) Standard for land use and carbon removals.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ofilwljuxj. This unit serves as the reference flow to which all input and output data are normalized.</w:t>
      </w:r>
    </w:p>
    <w:bookmarkEnd w:id="24"/>
    <w:bookmarkStart w:id="25" w:name="system-boundary"/>
    <w:p>
      <w:pPr>
        <w:pStyle w:val="Heading3"/>
      </w:pPr>
      <w:r>
        <w:t xml:space="preserve">1.3. System Boundary</w:t>
      </w:r>
    </w:p>
    <w:p>
      <w:pPr>
        <w:pStyle w:val="FirstParagraph"/>
      </w:pPr>
      <w:r>
        <w:t xml:space="preserve">The system boundary for this analysis is a</w:t>
      </w:r>
      <w:r>
        <w:t xml:space="preserve"> </w:t>
      </w:r>
      <w:r>
        <w:rPr>
          <w:bCs/>
          <w:b/>
        </w:rPr>
        <w:t xml:space="preserve">"cradle-to-gate" plus use phase and end-of-life perspective, or "factory_gate"</w:t>
      </w:r>
      <w:r>
        <w:t xml:space="preserve"> </w:t>
      </w:r>
      <w:r>
        <w:t xml:space="preserve">as specified, encompassing all stages from raw material extraction and processing, through manufacturing, transportation to the point of sale (or factory gate), the product\'s use phase, and its end-of-life treatment.</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transport and last-mile delivery, where applicable)</w:t>
      </w:r>
    </w:p>
    <w:bookmarkEnd w:id="26"/>
    <w:bookmarkStart w:id="27" w:name="allocation"/>
    <w:p>
      <w:pPr>
        <w:pStyle w:val="Heading3"/>
      </w:pPr>
      <w:r>
        <w:t xml:space="preserve">1.5. Allocation</w:t>
      </w:r>
    </w:p>
    <w:p>
      <w:pPr>
        <w:pStyle w:val="FirstParagraph"/>
      </w:pPr>
      <w:r>
        <w:t xml:space="preserve">Emissions are allocated to the functional unit using a mass-based approach for shared processes and co-products where specific primary data is unavailable, aligning with GHG Protocol guidance.</w:t>
      </w:r>
    </w:p>
    <w:p>
      <w:r>
        <w:pict>
          <v:rect style="width:0;height:1.5pt" o:hralign="center" o:hrstd="t" o:hr="t"/>
        </w:pict>
      </w:r>
    </w:p>
    <w:bookmarkEnd w:id="27"/>
    <w:bookmarkEnd w:id="28"/>
    <w:bookmarkStart w:id="35" w:name="X499aa382d37d6bb6c3ce242350df022e68917f3"/>
    <w:p>
      <w:pPr>
        <w:pStyle w:val="Heading2"/>
      </w:pPr>
      <w:r>
        <w:t xml:space="preserve">2. Lifecycle Inventory Stages &amp; Data Collection</w:t>
      </w:r>
    </w:p>
    <w:p>
      <w:pPr>
        <w:pStyle w:val="FirstParagraph"/>
      </w:pPr>
      <w:r>
        <w:t xml:space="preserve">The lifecycle of product</w:t>
      </w:r>
      <w:r>
        <w:t xml:space="preserve"> </w:t>
      </w:r>
      <w:r>
        <w:rPr>
          <w:bCs/>
          <w:b/>
        </w:rPr>
        <w:t xml:space="preserve">ofilwljuxj</w:t>
      </w:r>
      <w:r>
        <w:t xml:space="preserve"> </w:t>
      </w:r>
      <w:r>
        <w:t xml:space="preserve">is mapped across several key stages to capture all relevant GHG emissions. Data has been collected from primary sources (provided parameters) and secondary, industry-standard emission factor databases (e.g., Ecoinvent, DEFRA, IEA) where primary data was not available or applicable.</w:t>
      </w:r>
    </w:p>
    <w:bookmarkStart w:id="30" w:name="Xd36a31575db60552aebf4adab847cb78ed79454"/>
    <w:p>
      <w:pPr>
        <w:pStyle w:val="Heading3"/>
      </w:pPr>
      <w:r>
        <w:t xml:space="preserve">2.1. Materials Acquisition &amp; Manufacturing (Scope 3 - Upstream)</w:t>
      </w:r>
    </w:p>
    <w:p>
      <w:pPr>
        <w:pStyle w:val="FirstParagraph"/>
      </w:pPr>
      <w:r>
        <w:t xml:space="preserve">The detailed Bill of Materials (BOM) for</w:t>
      </w:r>
      <w:r>
        <w:t xml:space="preserve"> </w:t>
      </w:r>
      <w:r>
        <w:rPr>
          <w:bCs/>
          <w:b/>
        </w:rPr>
        <w:t xml:space="preserve">ofilwljuxj</w:t>
      </w:r>
      <w:r>
        <w:t xml:space="preserve"> </w:t>
      </w:r>
      <w:r>
        <w:t xml:space="preserve">(qhnirfnm) serves as the primary data source for calculating the material-related carbon impact. The \'Total Carbon\' values provided for each BOM item are directly utilized for high-accuracy calculation.</w:t>
      </w:r>
    </w:p>
    <w:bookmarkStart w:id="29" w:name="Xd70044489d1e40f1307b543f6f92f3a430d235d"/>
    <w:p>
      <w:pPr>
        <w:pStyle w:val="Heading4"/>
      </w:pPr>
      <w:r>
        <w:t xml:space="preserve">Detailed Bill of Materials (BOM) for ofilwljuxj (qhnirfnm)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See \'Total Carbon\'</w:t>
            </w:r>
          </w:p>
        </w:tc>
        <w:tc>
          <w:tcPr/>
          <w:p>
            <w:pPr>
              <w:pStyle w:val="Compact"/>
              <w:jc w:val="left"/>
            </w:pPr>
            <w:r>
              <w:t xml:space="preserve">15.00</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unit</w:t>
            </w:r>
          </w:p>
        </w:tc>
        <w:tc>
          <w:tcPr/>
          <w:p>
            <w:pPr>
              <w:pStyle w:val="Compact"/>
              <w:jc w:val="left"/>
            </w:pPr>
            <w:r>
              <w:t xml:space="preserve">See \'Total Carbon\'</w:t>
            </w:r>
          </w:p>
        </w:tc>
        <w:tc>
          <w:tcPr/>
          <w:p>
            <w:pPr>
              <w:pStyle w:val="Compact"/>
              <w:jc w:val="left"/>
            </w:pPr>
            <w:r>
              <w:t xml:space="preserve">8.50</w:t>
            </w:r>
          </w:p>
        </w:tc>
      </w:tr>
      <w:tr>
        <w:tc>
          <w:tcPr/>
          <w:p>
            <w:pPr>
              <w:pStyle w:val="Compact"/>
              <w:jc w:val="left"/>
            </w:pPr>
            <w:r>
              <w:t xml:space="preserve">3</w:t>
            </w:r>
          </w:p>
        </w:tc>
        <w:tc>
          <w:tcPr/>
          <w:p>
            <w:pPr>
              <w:pStyle w:val="Compact"/>
              <w:jc w:val="left"/>
            </w:pPr>
            <w:r>
              <w:t xml:space="preserve">Sub-assembly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w:t>
            </w:r>
          </w:p>
        </w:tc>
        <w:tc>
          <w:tcPr/>
          <w:p>
            <w:pPr>
              <w:pStyle w:val="Compact"/>
              <w:jc w:val="left"/>
            </w:pPr>
            <w:r>
              <w:t xml:space="preserve">unit</w:t>
            </w:r>
          </w:p>
        </w:tc>
        <w:tc>
          <w:tcPr/>
          <w:p>
            <w:pPr>
              <w:pStyle w:val="Compact"/>
              <w:jc w:val="left"/>
            </w:pPr>
            <w:r>
              <w:t xml:space="preserve">See \'Total Carbon\'</w:t>
            </w:r>
          </w:p>
        </w:tc>
        <w:tc>
          <w:tcPr/>
          <w:p>
            <w:pPr>
              <w:pStyle w:val="Compact"/>
              <w:jc w:val="left"/>
            </w:pPr>
            <w:r>
              <w:t xml:space="preserve">12.30</w:t>
            </w:r>
          </w:p>
        </w:tc>
      </w:tr>
      <w:tr>
        <w:tc>
          <w:tcPr/>
          <w:p>
            <w:pPr>
              <w:pStyle w:val="Compact"/>
              <w:jc w:val="left"/>
            </w:pPr>
            <w:r>
              <w:t xml:space="preserve">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 &amp; Paper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See \'Total Carbon\'</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Adhesive 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0.1</w:t>
            </w:r>
          </w:p>
        </w:tc>
        <w:tc>
          <w:tcPr/>
          <w:p>
            <w:pPr>
              <w:pStyle w:val="Compact"/>
              <w:jc w:val="left"/>
            </w:pPr>
            <w:r>
              <w:t xml:space="preserve">L</w:t>
            </w:r>
          </w:p>
        </w:tc>
        <w:tc>
          <w:tcPr/>
          <w:p>
            <w:pPr>
              <w:pStyle w:val="Compact"/>
              <w:jc w:val="left"/>
            </w:pPr>
            <w:r>
              <w:t xml:space="preserve">See \'Total Carbon\'</w:t>
            </w:r>
          </w:p>
        </w:tc>
        <w:tc>
          <w:tcPr/>
          <w:p>
            <w:pPr>
              <w:pStyle w:val="Compact"/>
              <w:jc w:val="left"/>
            </w:pPr>
            <w:r>
              <w:t xml:space="preserve">0.80</w:t>
            </w:r>
          </w:p>
        </w:tc>
      </w:tr>
    </w:tbl>
    <w:bookmarkEnd w:id="29"/>
    <w:bookmarkEnd w:id="30"/>
    <w:bookmarkStart w:id="31" w:name="production-phase-energy-scope-2"/>
    <w:p>
      <w:pPr>
        <w:pStyle w:val="Heading3"/>
      </w:pPr>
      <w:r>
        <w:t xml:space="preserve">2.2. Production Phase Energy (Scope 2)</w:t>
      </w:r>
    </w:p>
    <w:p>
      <w:pPr>
        <w:pStyle w:val="FirstParagraph"/>
      </w:pPr>
      <w:r>
        <w:t xml:space="preserve">Energy consumption during the production of</w:t>
      </w:r>
      <w:r>
        <w:t xml:space="preserve"> </w:t>
      </w:r>
      <w:r>
        <w:rPr>
          <w:bCs/>
          <w:b/>
        </w:rPr>
        <w:t xml:space="preserve">ofilwljuxj</w:t>
      </w:r>
      <w:r>
        <w:t xml:space="preserve"> </w:t>
      </w:r>
      <w:r>
        <w:t xml:space="preserve">in China is a significant contributor to the PCF.</w:t>
      </w:r>
    </w:p>
    <w:p>
      <w:pPr>
        <w:numPr>
          <w:ilvl w:val="0"/>
          <w:numId w:val="1002"/>
        </w:numPr>
        <w:pStyle w:val="Compact"/>
      </w:pPr>
      <w:r>
        <w:rPr>
          <w:bCs/>
          <w:b/>
        </w:rPr>
        <w:t xml:space="preserve">Renewable Energy Usage:</w:t>
      </w:r>
      <w:r>
        <w:t xml:space="preserve"> </w:t>
      </w:r>
      <w:r>
        <w:t xml:space="preserve">zilfnvlvdj</w:t>
      </w:r>
    </w:p>
    <w:p>
      <w:pPr>
        <w:numPr>
          <w:ilvl w:val="0"/>
          <w:numId w:val="1002"/>
        </w:numPr>
        <w:pStyle w:val="Compact"/>
      </w:pPr>
      <w:r>
        <w:rPr>
          <w:bCs/>
          <w:b/>
        </w:rPr>
        <w:t xml:space="preserve">Energy Intensity (kWh/unit):</w:t>
      </w:r>
      <w:r>
        <w:t xml:space="preserve"> </w:t>
      </w:r>
      <w:r>
        <w:t xml:space="preserve">twlvkmgvmu</w:t>
      </w:r>
    </w:p>
    <w:p>
      <w:pPr>
        <w:pStyle w:val="FirstParagraph"/>
      </w:pPr>
      <w:r>
        <w:t xml:space="preserve">For the non-renewable portion of electricity, the 2023 national average electricity carbon footprint factor for China is used: 0.6205 kgCO₂e/kWh.</w:t>
      </w:r>
    </w:p>
    <w:bookmarkEnd w:id="31"/>
    <w:bookmarkStart w:id="32"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 to quantify emissions from product movement.</w:t>
      </w:r>
    </w:p>
    <w:p>
      <w:pPr>
        <w:numPr>
          <w:ilvl w:val="0"/>
          <w:numId w:val="1003"/>
        </w:numPr>
        <w:pStyle w:val="Compact"/>
      </w:pPr>
      <w:r>
        <w:rPr>
          <w:bCs/>
          <w:b/>
        </w:rPr>
        <w:t xml:space="preserve">Transport Mode:</w:t>
      </w:r>
      <w:r>
        <w:t xml:space="preserve"> </w:t>
      </w:r>
      <w:r>
        <w:t xml:space="preserve">Select Mode (assumed to be Heavy Goods Vehicle (HGV) for primary transport across Europe)</w:t>
      </w:r>
    </w:p>
    <w:p>
      <w:pPr>
        <w:numPr>
          <w:ilvl w:val="0"/>
          <w:numId w:val="1003"/>
        </w:numPr>
        <w:pStyle w:val="Compact"/>
      </w:pPr>
      <w:r>
        <w:rPr>
          <w:bCs/>
          <w:b/>
        </w:rPr>
        <w:t xml:space="preserve">Transport Distance:</w:t>
      </w:r>
      <w:r>
        <w:t xml:space="preserve"> </w:t>
      </w:r>
      <w:r>
        <w:t xml:space="preserve">zmkesmozxe km</w:t>
      </w:r>
    </w:p>
    <w:p>
      <w:pPr>
        <w:numPr>
          <w:ilvl w:val="0"/>
          <w:numId w:val="1003"/>
        </w:numPr>
        <w:pStyle w:val="Compact"/>
      </w:pPr>
      <w:r>
        <w:rPr>
          <w:bCs/>
          <w:b/>
        </w:rPr>
        <w:t xml:space="preserve">Last-Mile Delivery Channel:</w:t>
      </w:r>
      <w:r>
        <w:t xml:space="preserve"> </w:t>
      </w:r>
      <w:r>
        <w:t xml:space="preserve">Delivery Type (assumed to be Light Commercial Vehicle (LCV) for final distribution within Europe)</w:t>
      </w:r>
    </w:p>
    <w:p>
      <w:pPr>
        <w:pStyle w:val="FirstParagraph"/>
      </w:pPr>
      <w:r>
        <w:t xml:space="preserve">Emission factors for road freight (HGV &gt;32t, Europe average) are assumed to be 0.08 kgCO2e/tonne-km. For last-mile delivery (LCV, Europe average), an emission factor of 0.3 kgCO2e/tonne-km is assumed, reflecting lower load factors and differing vehicle efficiencies. This assumes a product weight of 10 kg for calculation purposes to provide an illustrative impact, as the product weight was not explicitly provided.</w:t>
      </w:r>
    </w:p>
    <w:bookmarkEnd w:id="32"/>
    <w:bookmarkStart w:id="33" w:name="use-phase-scope-3---downstream"/>
    <w:p>
      <w:pPr>
        <w:pStyle w:val="Heading3"/>
      </w:pPr>
      <w:r>
        <w:t xml:space="preserve">2.4. Use Phase (Scope 3 - Downstream)</w:t>
      </w:r>
    </w:p>
    <w:p>
      <w:pPr>
        <w:pStyle w:val="FirstParagraph"/>
      </w:pPr>
      <w:r>
        <w:t xml:space="preserve">The energy consumption during the product\'s lifespan is a critical component of its environmental impact.</w:t>
      </w:r>
    </w:p>
    <w:p>
      <w:pPr>
        <w:numPr>
          <w:ilvl w:val="0"/>
          <w:numId w:val="1004"/>
        </w:numPr>
        <w:pStyle w:val="Compact"/>
      </w:pPr>
      <w:r>
        <w:rPr>
          <w:bCs/>
          <w:b/>
        </w:rPr>
        <w:t xml:space="preserve">Product Lifespan:</w:t>
      </w:r>
      <w:r>
        <w:t xml:space="preserve"> </w:t>
      </w:r>
      <w:r>
        <w:t xml:space="preserve">khsspifzxz</w:t>
      </w:r>
    </w:p>
    <w:p>
      <w:pPr>
        <w:numPr>
          <w:ilvl w:val="0"/>
          <w:numId w:val="1004"/>
        </w:numPr>
        <w:pStyle w:val="Compact"/>
      </w:pPr>
      <w:r>
        <w:rPr>
          <w:bCs/>
          <w:b/>
        </w:rPr>
        <w:t xml:space="preserve">Energy Consumption in Use:</w:t>
      </w:r>
      <w:r>
        <w:t xml:space="preserve"> </w:t>
      </w:r>
      <w:r>
        <w:t xml:space="preserve">ykuropelxh kWh/year</w:t>
      </w:r>
    </w:p>
    <w:p>
      <w:pPr>
        <w:pStyle w:val="FirstParagraph"/>
      </w:pPr>
      <w:r>
        <w:t xml:space="preserve">For electricity consumed during the use phase (assuming end-user location in Europe), the 2024 European average electricity carbon factor is used: 0.181 kgCO₂/kWh.</w:t>
      </w:r>
    </w:p>
    <w:bookmarkEnd w:id="33"/>
    <w:bookmarkStart w:id="34" w:name="end-of-life-eol-scope-3---downstream"/>
    <w:p>
      <w:pPr>
        <w:pStyle w:val="Heading3"/>
      </w:pPr>
      <w:r>
        <w:t xml:space="preserve">2.5. End-of-Life (EoL) (Scope 3 - Downstream)</w:t>
      </w:r>
    </w:p>
    <w:p>
      <w:pPr>
        <w:pStyle w:val="FirstParagraph"/>
      </w:pPr>
      <w:r>
        <w:t xml:space="preserve">End-of-Life scenarios are analyzed to reflect circular economy impacts and potential avoided emissions or removals.</w:t>
      </w:r>
    </w:p>
    <w:p>
      <w:pPr>
        <w:numPr>
          <w:ilvl w:val="0"/>
          <w:numId w:val="1005"/>
        </w:numPr>
        <w:pStyle w:val="Compact"/>
      </w:pPr>
      <w:r>
        <w:rPr>
          <w:bCs/>
          <w:b/>
        </w:rPr>
        <w:t xml:space="preserve">Recyclability Percentage:</w:t>
      </w:r>
      <w:r>
        <w:t xml:space="preserve"> </w:t>
      </w:r>
      <w:r>
        <w:t xml:space="preserve">nokkrdimud %</w:t>
      </w:r>
    </w:p>
    <w:p>
      <w:pPr>
        <w:numPr>
          <w:ilvl w:val="0"/>
          <w:numId w:val="1005"/>
        </w:numPr>
        <w:pStyle w:val="Compact"/>
      </w:pPr>
      <w:r>
        <w:rPr>
          <w:bCs/>
          <w:b/>
        </w:rPr>
        <w:t xml:space="preserve">Circular/Take-back Programs:</w:t>
      </w:r>
      <w:r>
        <w:t xml:space="preserve"> </w:t>
      </w:r>
      <w:r>
        <w:t xml:space="preserve">qojfyuukui</w:t>
      </w:r>
    </w:p>
    <w:p>
      <w:pPr>
        <w:pStyle w:val="FirstParagraph"/>
      </w:pPr>
      <w:r>
        <w:t xml:space="preserve">The 2026 Land Sector and Removals (LSR) Standard is applied to account for potential carbon removals or avoided emissions associated with recycling and circularity initiatives. The impact is calculated based on the recyclability percentage and the presence of take-back programs, quantifying the GHG benefits from material recovery and reduced virgin material production.</w:t>
      </w:r>
    </w:p>
    <w:p>
      <w:r>
        <w:pict>
          <v:rect style="width:0;height:1.5pt" o:hralign="center" o:hrstd="t" o:hr="t"/>
        </w:pict>
      </w:r>
    </w:p>
    <w:bookmarkEnd w:id="34"/>
    <w:bookmarkEnd w:id="35"/>
    <w:bookmarkStart w:id="42" w:name="emission-calculation"/>
    <w:p>
      <w:pPr>
        <w:pStyle w:val="Heading2"/>
      </w:pPr>
      <w:r>
        <w:t xml:space="preserve">3. Emission Calculation</w:t>
      </w:r>
    </w:p>
    <w:p>
      <w:pPr>
        <w:pStyle w:val="FirstParagraph"/>
      </w:pPr>
      <w:r>
        <w:t xml:space="preserve">Emissions are calculated for each stage using the activity data multiplied by appropriate emission factors, categorized according to the GHG Protocol.</w:t>
      </w:r>
    </w:p>
    <w:bookmarkStart w:id="36" w:name="scope-1-emissions"/>
    <w:p>
      <w:pPr>
        <w:pStyle w:val="Heading3"/>
      </w:pPr>
      <w:r>
        <w:t xml:space="preserve">3.1. Scope 1 Emissions</w:t>
      </w:r>
    </w:p>
    <w:p>
      <w:pPr>
        <w:pStyle w:val="FirstParagraph"/>
      </w:pPr>
      <w:r>
        <w:t xml:space="preserve">Given the "factory_gate" system boundary and the nature of product PCF, direct Scope 1 emissions from owned or controlled sources (e.g., on-site fuel combustion for manufacturing of</w:t>
      </w:r>
      <w:r>
        <w:t xml:space="preserve"> </w:t>
      </w:r>
      <w:r>
        <w:rPr>
          <w:bCs/>
          <w:b/>
        </w:rPr>
        <w:t xml:space="preserve">ofilwljuxj</w:t>
      </w:r>
      <w:r>
        <w:t xml:space="preserve">) are assumed to be negligible or integrated into the Scope 2 or Scope 3 upstream factors provided in the BOM or for purchased energy. If</w:t>
      </w:r>
      <w:r>
        <w:t xml:space="preserve"> </w:t>
      </w:r>
      <w:r>
        <w:rPr>
          <w:bCs/>
          <w:b/>
        </w:rPr>
        <w:t xml:space="preserve">vxuriykwun</w:t>
      </w:r>
      <w:r>
        <w:t xml:space="preserve"> </w:t>
      </w:r>
      <w:r>
        <w:t xml:space="preserve">has direct on-site fossil fuel combustion for the manufacturing of this specific product, that would be included here. Without specific data, this category is assumed minimal for a product-level analysis focused on value chain.</w:t>
      </w:r>
    </w:p>
    <w:bookmarkEnd w:id="36"/>
    <w:bookmarkStart w:id="37"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production of</w:t>
      </w:r>
      <w:r>
        <w:t xml:space="preserve"> </w:t>
      </w:r>
      <w:r>
        <w:rPr>
          <w:bCs/>
          <w:b/>
        </w:rPr>
        <w:t xml:space="preserve">ofilwljuxj</w:t>
      </w:r>
      <w:r>
        <w:t xml:space="preserve"> </w:t>
      </w:r>
      <w:r>
        <w:t xml:space="preserve">in China.</w:t>
      </w:r>
    </w:p>
    <w:p>
      <w:pPr>
        <w:pStyle w:val="BodyText"/>
      </w:pPr>
      <w:r>
        <w:t xml:space="preserve">Total Production Energy = twlvkmgvmu kWh/unit</w:t>
      </w:r>
    </w:p>
    <w:p>
      <w:pPr>
        <w:pStyle w:val="BodyText"/>
      </w:pPr>
      <w:r>
        <w:t xml:space="preserve">Non-renewable Energy % = (100 - parseFloat(zilfnvlvdj)) / 100</w:t>
      </w:r>
    </w:p>
    <w:p>
      <w:pPr>
        <w:pStyle w:val="BodyText"/>
      </w:pPr>
      <w:r>
        <w:t xml:space="preserve">Non-renewable Energy Consumption = twlvkmgvmu * Non-renewable Energy % kWh/unit</w:t>
      </w:r>
    </w:p>
    <w:p>
      <w:pPr>
        <w:pStyle w:val="BodyText"/>
      </w:pPr>
      <w:r>
        <w:t xml:space="preserve">China Grid Emission Factor (2023) = 0.6205 kgCO₂e/kWh</w:t>
      </w:r>
    </w:p>
    <w:p>
      <w:pPr>
        <w:pStyle w:val="BodyText"/>
      </w:pPr>
      <w:r>
        <w:rPr>
          <w:bCs/>
          <w:b/>
        </w:rPr>
        <w:t xml:space="preserve">Scope 2 Emissions = Non-renewable Energy Consumption * China Grid Emission Factor</w:t>
      </w:r>
    </w:p>
    <w:p>
      <w:pPr>
        <w:pStyle w:val="BodyText"/>
      </w:pPr>
      <w:r>
        <w:t xml:space="preserve">(Example Calculation with placeholders: If `twlvkmgvmu` = 50 kWh/unit and `zilfnvlvdj` = 20%, then Non-renewable Energy % = 0.8. Non-renewable Energy Consumption = 50 * 0.8 = 40 kWh/unit. Scope 2 Emissions = 40 kWh/unit * 0.6205 kgCO₂e/kWh = 24.82 kgCO₂e/unit)</w:t>
      </w:r>
    </w:p>
    <w:bookmarkEnd w:id="37"/>
    <w:bookmarkStart w:id="40" w:name="scope-3-emissions-value-chain"/>
    <w:p>
      <w:pPr>
        <w:pStyle w:val="Heading3"/>
      </w:pPr>
      <w:r>
        <w:t xml:space="preserve">3.3. Scope 3 Emissions (Value Chain)</w:t>
      </w:r>
    </w:p>
    <w:p>
      <w:pPr>
        <w:pStyle w:val="FirstParagraph"/>
      </w:pPr>
      <w:r>
        <w:t xml:space="preserve">Scope 3 emissions are the most extensive category, covering upstream and downstream activities. This analysis ensures at least 95% coverage for Scope 3 reporting, as per 2026 requirements.</w:t>
      </w:r>
    </w:p>
    <w:bookmarkStart w:id="38" w:name="upstream-emissions"/>
    <w:p>
      <w:pPr>
        <w:pStyle w:val="Heading4"/>
      </w:pPr>
      <w:r>
        <w:t xml:space="preserve">3.3.1. Upstream Emissions</w:t>
      </w:r>
    </w:p>
    <w:p>
      <w:pPr>
        <w:numPr>
          <w:ilvl w:val="0"/>
          <w:numId w:val="1006"/>
        </w:numPr>
      </w:pPr>
      <w:r>
        <w:rPr>
          <w:bCs/>
          <w:b/>
        </w:rPr>
        <w:t xml:space="preserve">Materials and Manufacturing (Category 1: Purchased Goods and Services):</w:t>
      </w:r>
    </w:p>
    <w:p>
      <w:pPr>
        <w:numPr>
          <w:ilvl w:val="0"/>
          <w:numId w:val="1000"/>
        </w:numPr>
      </w:pPr>
      <w:r>
        <w:t xml:space="preserve">Sum of \'Total Carbon\' from the Detailed Bill of Materials (qhnirfnm):</w:t>
      </w:r>
    </w:p>
    <w:p>
      <w:pPr>
        <w:numPr>
          <w:ilvl w:val="0"/>
          <w:numId w:val="1000"/>
        </w:numPr>
      </w:pPr>
      <w:r>
        <w:t xml:space="preserve">Total Material Emissions = 15.00 kgCO2e (Material A) + 8.50 kgCO2e (Component B) + 12.30 kgCO2e (Sub-assembly C) + 2.10 kgCO2e (Packaging D) + 0.80 kgCO2e (Adhesive E) =</w:t>
      </w:r>
      <w:r>
        <w:t xml:space="preserve"> </w:t>
      </w:r>
      <w:r>
        <w:rPr>
          <w:bCs/>
          <w:b/>
        </w:rPr>
        <w:t xml:space="preserve">38.70 kgCO2e/unit</w:t>
      </w:r>
    </w:p>
    <w:p>
      <w:pPr>
        <w:numPr>
          <w:ilvl w:val="0"/>
          <w:numId w:val="1006"/>
        </w:numPr>
      </w:pPr>
      <w:r>
        <w:rPr>
          <w:bCs/>
          <w:b/>
        </w:rPr>
        <w:t xml:space="preserve">Upstream Transportation and Distribution (Category 4):</w:t>
      </w:r>
    </w:p>
    <w:p>
      <w:pPr>
        <w:numPr>
          <w:ilvl w:val="0"/>
          <w:numId w:val="1000"/>
        </w:numPr>
      </w:pPr>
      <w:r>
        <w:t xml:space="preserve">Assuming "Select Mode" is HGV and assuming a product weight of 10 kg for illustrative calculation.</w:t>
      </w:r>
    </w:p>
    <w:p>
      <w:pPr>
        <w:numPr>
          <w:ilvl w:val="0"/>
          <w:numId w:val="1000"/>
        </w:numPr>
      </w:pPr>
      <w:r>
        <w:t xml:space="preserve">Transport Distance = zmkesmozxe km</w:t>
      </w:r>
    </w:p>
    <w:p>
      <w:pPr>
        <w:numPr>
          <w:ilvl w:val="0"/>
          <w:numId w:val="1000"/>
        </w:numPr>
      </w:pPr>
      <w:r>
        <w:t xml:space="preserve">HGV Emission Factor (Europe average) = 0.08 kgCO2e/tonne-km</w:t>
      </w:r>
    </w:p>
    <w:p>
      <w:pPr>
        <w:numPr>
          <w:ilvl w:val="0"/>
          <w:numId w:val="1000"/>
        </w:numPr>
      </w:pPr>
      <w:r>
        <w:t xml:space="preserve">Product weight = 10 kg = 0.01 tonne</w:t>
      </w:r>
    </w:p>
    <w:p>
      <w:pPr>
        <w:numPr>
          <w:ilvl w:val="0"/>
          <w:numId w:val="1000"/>
        </w:numPr>
      </w:pPr>
      <w:r>
        <w:rPr>
          <w:bCs/>
          <w:b/>
        </w:rPr>
        <w:t xml:space="preserve">Upstream Transport Emissions = zmkesmozxe km * 0.01 tonne * 0.08 kgCO2e/tonne-km</w:t>
      </w:r>
    </w:p>
    <w:p>
      <w:pPr>
        <w:numPr>
          <w:ilvl w:val="0"/>
          <w:numId w:val="1000"/>
        </w:numPr>
      </w:pPr>
      <w:r>
        <w:t xml:space="preserve">(Example Calculation with placeholders: If `zmkesmozxe` = 1500 km, then Upstream Transport Emissions = 1500 * 0.01 * 0.08 = 1.2 kgCO2e/unit)</w:t>
      </w:r>
    </w:p>
    <w:bookmarkEnd w:id="38"/>
    <w:bookmarkStart w:id="39" w:name="downstream-emissions"/>
    <w:p>
      <w:pPr>
        <w:pStyle w:val="Heading4"/>
      </w:pPr>
      <w:r>
        <w:t xml:space="preserve">3.3.2. Downstream Emissions</w:t>
      </w:r>
    </w:p>
    <w:p>
      <w:pPr>
        <w:numPr>
          <w:ilvl w:val="0"/>
          <w:numId w:val="1007"/>
        </w:numPr>
      </w:pPr>
      <w:r>
        <w:rPr>
          <w:bCs/>
          <w:b/>
        </w:rPr>
        <w:t xml:space="preserve">Use Phase Emissions (Category 11: Use of Sold Products):</w:t>
      </w:r>
    </w:p>
    <w:p>
      <w:pPr>
        <w:numPr>
          <w:ilvl w:val="0"/>
          <w:numId w:val="1000"/>
        </w:numPr>
      </w:pPr>
      <w:r>
        <w:t xml:space="preserve">Product Lifespan = khsspifzxz years</w:t>
      </w:r>
    </w:p>
    <w:p>
      <w:pPr>
        <w:numPr>
          <w:ilvl w:val="0"/>
          <w:numId w:val="1000"/>
        </w:numPr>
      </w:pPr>
      <w:r>
        <w:t xml:space="preserve">Energy Consumption in Use = ykuropelxh kWh/year</w:t>
      </w:r>
    </w:p>
    <w:p>
      <w:pPr>
        <w:numPr>
          <w:ilvl w:val="0"/>
          <w:numId w:val="1000"/>
        </w:numPr>
      </w:pPr>
      <w:r>
        <w:t xml:space="preserve">EU Grid Emission Factor (2024) = 0.181 kgCO₂/kWh</w:t>
      </w:r>
    </w:p>
    <w:p>
      <w:pPr>
        <w:numPr>
          <w:ilvl w:val="0"/>
          <w:numId w:val="1000"/>
        </w:numPr>
      </w:pPr>
      <w:r>
        <w:rPr>
          <w:bCs/>
          <w:b/>
        </w:rPr>
        <w:t xml:space="preserve">Use Phase Emissions = khsspifzxz years * ykuropelxh kWh/year * 0.181 kgCO₂/kWh</w:t>
      </w:r>
    </w:p>
    <w:p>
      <w:pPr>
        <w:numPr>
          <w:ilvl w:val="0"/>
          <w:numId w:val="1000"/>
        </w:numPr>
      </w:pPr>
      <w:r>
        <w:t xml:space="preserve">(Example Calculation with placeholders: If `khsspifzxz` = 5 years and `ykuropelxh` = 20 kWh/year, then Use Phase Emissions = 5 * 20 * 0.181 = 18.1 kgCO₂e/unit)</w:t>
      </w:r>
    </w:p>
    <w:p>
      <w:pPr>
        <w:numPr>
          <w:ilvl w:val="0"/>
          <w:numId w:val="1007"/>
        </w:numPr>
      </w:pPr>
      <w:r>
        <w:rPr>
          <w:bCs/>
          <w:b/>
        </w:rPr>
        <w:t xml:space="preserve">End-of-Life Treatment of Sold Products (Category 12):</w:t>
      </w:r>
    </w:p>
    <w:p>
      <w:pPr>
        <w:numPr>
          <w:ilvl w:val="0"/>
          <w:numId w:val="1000"/>
        </w:numPr>
      </w:pPr>
      <w:r>
        <w:t xml:space="preserve">Recyclability Percentage = nokkrdimud %</w:t>
      </w:r>
    </w:p>
    <w:p>
      <w:pPr>
        <w:numPr>
          <w:ilvl w:val="0"/>
          <w:numId w:val="1000"/>
        </w:numPr>
      </w:pPr>
      <w:r>
        <w:t xml:space="preserve">Circular Programs = qojfyuukui</w:t>
      </w:r>
    </w:p>
    <w:p>
      <w:pPr>
        <w:numPr>
          <w:ilvl w:val="0"/>
          <w:numId w:val="1000"/>
        </w:numPr>
      </w:pPr>
      <w:r>
        <w:t xml:space="preserve">The calculation for End-of-Life (EoL) emissions involves assessing the emissions from disposal (e.g., landfill, incineration) for the non-recycled portion and accounting for avoided emissions or removals for the recycled portion, as guided by the 2026 LSR Standard. Given `nokkrdimud` as the recyclability percentage, the remaining (100 - `nokkrdimud`)% will be assumed to go to landfill for this illustrative calculation, with a generic emission factor of 1.0 kgCO2e/kg (for mixed waste to landfill). Avoided emissions from recycling are calculated based on the primary material emissions offset.</w:t>
      </w:r>
    </w:p>
    <w:p>
      <w:pPr>
        <w:numPr>
          <w:ilvl w:val="0"/>
          <w:numId w:val="1000"/>
        </w:numPr>
      </w:pPr>
      <w:r>
        <w:t xml:space="preserve">Assuming the total product weight is 10 kg (for illustrative purpose, as product weight was not specified).</w:t>
      </w:r>
    </w:p>
    <w:p>
      <w:pPr>
        <w:numPr>
          <w:ilvl w:val="0"/>
          <w:numId w:val="1000"/>
        </w:numPr>
      </w:pPr>
      <w:r>
        <w:t xml:space="preserve">Waste to Landfill = 10 kg * (100 - nokkrdimud) / 100</w:t>
      </w:r>
    </w:p>
    <w:p>
      <w:pPr>
        <w:numPr>
          <w:ilvl w:val="0"/>
          <w:numId w:val="1000"/>
        </w:numPr>
      </w:pPr>
      <w:r>
        <w:t xml:space="preserve">Emissions from Landfill (Assumed EF) = Waste to Landfill * 1.0 kgCO2e/kg</w:t>
      </w:r>
    </w:p>
    <w:p>
      <w:pPr>
        <w:numPr>
          <w:ilvl w:val="0"/>
          <w:numId w:val="1000"/>
        </w:numPr>
      </w:pPr>
      <w:r>
        <w:t xml:space="preserve">Recycled Material Mass = 10 kg * nokkrdimud / 100</w:t>
      </w:r>
    </w:p>
    <w:p>
      <w:pPr>
        <w:numPr>
          <w:ilvl w:val="0"/>
          <w:numId w:val="1000"/>
        </w:numPr>
      </w:pPr>
      <w:r>
        <w:t xml:space="preserve">Avoided Emissions from Recycling (Illustrative, assuming 50% avoidance on initial material emissions for recycled mass) = Recycled Material Mass * (Total Material Emissions / Total Product Weight) * 0.5</w:t>
      </w:r>
    </w:p>
    <w:p>
      <w:pPr>
        <w:numPr>
          <w:ilvl w:val="0"/>
          <w:numId w:val="1000"/>
        </w:numPr>
      </w:pPr>
      <w:r>
        <w:rPr>
          <w:bCs/>
          <w:b/>
        </w:rPr>
        <w:t xml:space="preserve">Net EoL Emissions = Emissions from Landfill - Avoided Emissions from Recycling</w:t>
      </w:r>
    </w:p>
    <w:p>
      <w:pPr>
        <w:numPr>
          <w:ilvl w:val="0"/>
          <w:numId w:val="1000"/>
        </w:numPr>
      </w:pPr>
      <w:r>
        <w:t xml:space="preserve">The presence of "qojfyuukui" (Circular/Take-back Programs) further enhances circularity, potentially increasing the effective recycling rate or reducing processing emissions, contributing positively to carbon removal accounting under the LSR Standard.</w:t>
      </w:r>
    </w:p>
    <w:p>
      <w:pPr>
        <w:numPr>
          <w:ilvl w:val="0"/>
          <w:numId w:val="1000"/>
        </w:numPr>
      </w:pPr>
      <w:r>
        <w:t xml:space="preserve">(Example Calculation with placeholders: If `nokkrdimud` = 70%, product weight = 10 kg, Total Material Emissions = 38.7 kgCO2e. Waste to Landfill = 10 * 0.3 = 3 kg. Emissions from Landfill = 3 * 1.0 = 3 kgCO2e. Recycled Material Mass = 10 * 0.7 = 7 kg. Avoided Emissions = 7 * (38.7/10) * 0.5 = 13.545 kgCO2e. Net EoL Emissions = 3 - 13.545 = -10.545 kgCO2e/unit. This negative value represents a net carbon removal/benefit.)</w:t>
      </w:r>
    </w:p>
    <w:p>
      <w:pPr>
        <w:numPr>
          <w:ilvl w:val="0"/>
          <w:numId w:val="1007"/>
        </w:numPr>
      </w:pPr>
      <w:r>
        <w:rPr>
          <w:bCs/>
          <w:b/>
        </w:rPr>
        <w:t xml:space="preserve">Last-Mile Delivery (part of Category 4: Upstream Transportation and Distribution for the seller, Downstream for the manufacturer):</w:t>
      </w:r>
    </w:p>
    <w:p>
      <w:pPr>
        <w:numPr>
          <w:ilvl w:val="0"/>
          <w:numId w:val="1000"/>
        </w:numPr>
      </w:pPr>
      <w:r>
        <w:t xml:space="preserve">Assuming "Delivery Type" is LCV and assuming a typical last-mile distance of 50 km and product weight of 10 kg for illustrative calculation.</w:t>
      </w:r>
    </w:p>
    <w:p>
      <w:pPr>
        <w:numPr>
          <w:ilvl w:val="0"/>
          <w:numId w:val="1000"/>
        </w:numPr>
      </w:pPr>
      <w:r>
        <w:t xml:space="preserve">Last-Mile Distance = 50 km</w:t>
      </w:r>
    </w:p>
    <w:p>
      <w:pPr>
        <w:numPr>
          <w:ilvl w:val="0"/>
          <w:numId w:val="1000"/>
        </w:numPr>
      </w:pPr>
      <w:r>
        <w:t xml:space="preserve">LCV Emission Factor (Europe average) = 0.3 kgCO2e/tonne-km</w:t>
      </w:r>
    </w:p>
    <w:p>
      <w:pPr>
        <w:numPr>
          <w:ilvl w:val="0"/>
          <w:numId w:val="1000"/>
        </w:numPr>
      </w:pPr>
      <w:r>
        <w:t xml:space="preserve">Product weight = 10 kg = 0.01 tonne</w:t>
      </w:r>
    </w:p>
    <w:p>
      <w:pPr>
        <w:numPr>
          <w:ilvl w:val="0"/>
          <w:numId w:val="1000"/>
        </w:numPr>
      </w:pPr>
      <w:r>
        <w:rPr>
          <w:bCs/>
          <w:b/>
        </w:rPr>
        <w:t xml:space="preserve">Last-Mile Delivery Emissions = 50 km * 0.01 tonne * 0.3 kgCO2e/tonne-km</w:t>
      </w:r>
    </w:p>
    <w:p>
      <w:pPr>
        <w:numPr>
          <w:ilvl w:val="0"/>
          <w:numId w:val="1000"/>
        </w:numPr>
      </w:pPr>
      <w:r>
        <w:t xml:space="preserve">(Example Calculation: Last-Mile Delivery Emissions = 50 * 0.01 * 0.3 = 0.15 kgCO2e/unit)</w:t>
      </w:r>
    </w:p>
    <w:bookmarkEnd w:id="39"/>
    <w:bookmarkEnd w:id="40"/>
    <w:bookmarkStart w:id="41" w:name="summary-of-pcf-calculation-illustrative"/>
    <w:p>
      <w:pPr>
        <w:pStyle w:val="Heading3"/>
      </w:pPr>
      <w:r>
        <w:t xml:space="preserve">3.4. Summary of PCF Calculation (Illustrative)</w:t>
      </w:r>
    </w:p>
    <w:p>
      <w:pPr>
        <w:pStyle w:val="FirstParagraph"/>
      </w:pPr>
      <w:r>
        <w:t xml:space="preserve">Below is an illustrative summary of the PCF for</w:t>
      </w:r>
      <w:r>
        <w:t xml:space="preserve"> </w:t>
      </w:r>
      <w:r>
        <w:rPr>
          <w:bCs/>
          <w:b/>
        </w:rPr>
        <w:t xml:space="preserve">ofilwljuxj</w:t>
      </w:r>
      <w:r>
        <w:t xml:space="preserve"> </w:t>
      </w:r>
      <w:r>
        <w:t xml:space="preserve">based on the provided parameters and assumed emission factors for placeholders. Actual values will depend on precise inputs for `zmkesmozxe`, `twlvkmgvmu`, `zilfnvlvdj`, `khsspifzxz`, `ykuropelxh`, `nokkrdimud`, `qojfyuukui`, and explicit product weight.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Illustrative Emissions (kgCO₂e/unit)</w:t>
            </w:r>
          </w:p>
        </w:tc>
      </w:tr>
      <w:tr>
        <w:tc>
          <w:tcPr/>
          <w:p>
            <w:pPr>
              <w:pStyle w:val="Compact"/>
              <w:jc w:val="left"/>
            </w:pPr>
            <w:r>
              <w:t xml:space="preserve">Scope 1</w:t>
            </w:r>
          </w:p>
        </w:tc>
        <w:tc>
          <w:tcPr/>
          <w:p>
            <w:pPr>
              <w:pStyle w:val="Compact"/>
              <w:jc w:val="left"/>
            </w:pPr>
            <w:r>
              <w:t xml:space="preserve">Direct Emissions (assumed negligible for product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 (China)</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Materials &amp; Manufacturing (Upstream)</w:t>
            </w:r>
          </w:p>
        </w:tc>
        <w:tc>
          <w:tcPr/>
          <w:p>
            <w:pPr>
              <w:pStyle w:val="Compact"/>
              <w:jc w:val="left"/>
            </w:pPr>
            <w:r>
              <w:t xml:space="preserve">38.70</w:t>
            </w:r>
          </w:p>
        </w:tc>
      </w:tr>
      <w:tr>
        <w:tc>
          <w:tcPr>
            <w:gridSpan w:val="1"/>
            <w:vMerge w:val="continue"/>
          </w:tcPr>
          <w:p>
            <w:pPr/>
          </w:p>
        </w:tc>
        <w:tc>
          <w:tcPr/>
          <w:p>
            <w:pPr>
              <w:pStyle w:val="Compact"/>
              <w:jc w:val="left"/>
            </w:pPr>
            <w:r>
              <w:t xml:space="preserve">Upstream Transport (HGV, Europe)</w:t>
            </w:r>
          </w:p>
        </w:tc>
        <w:tc>
          <w:tcPr/>
          <w:p>
            <w:pPr>
              <w:pStyle w:val="Compact"/>
              <w:jc w:val="left"/>
            </w:pPr>
            <w:r>
              <w:t xml:space="preserve">1.20</w:t>
            </w:r>
          </w:p>
        </w:tc>
      </w:tr>
      <w:tr>
        <w:tc>
          <w:tcPr>
            <w:gridSpan w:val="1"/>
            <w:vMerge w:val="continue"/>
          </w:tcPr>
          <w:p>
            <w:pPr/>
          </w:p>
        </w:tc>
        <w:tc>
          <w:tcPr/>
          <w:p>
            <w:pPr>
              <w:pStyle w:val="Compact"/>
              <w:jc w:val="left"/>
            </w:pPr>
            <w:r>
              <w:t xml:space="preserve">Use Phase (Europe)</w:t>
            </w:r>
          </w:p>
        </w:tc>
        <w:tc>
          <w:tcPr/>
          <w:p>
            <w:pPr>
              <w:pStyle w:val="Compact"/>
              <w:jc w:val="left"/>
            </w:pPr>
            <w:r>
              <w:t xml:space="preserve">18.10</w:t>
            </w:r>
          </w:p>
        </w:tc>
      </w:tr>
      <w:tr>
        <w:tc>
          <w:tcPr>
            <w:gridSpan w:val="1"/>
            <w:vMerge w:val="continue"/>
          </w:tcPr>
          <w:p>
            <w:pPr/>
          </w:p>
        </w:tc>
        <w:tc>
          <w:tcPr/>
          <w:p>
            <w:pPr>
              <w:pStyle w:val="Compact"/>
              <w:jc w:val="left"/>
            </w:pPr>
            <w:r>
              <w:t xml:space="preserve">End-of-Life (Recycling/Disposal) &amp; Last-Mile Delivery</w:t>
            </w:r>
          </w:p>
        </w:tc>
        <w:tc>
          <w:tcPr/>
          <w:p>
            <w:pPr>
              <w:pStyle w:val="Compact"/>
              <w:jc w:val="left"/>
            </w:pPr>
            <w:r>
              <w:t xml:space="preserve">-10.545 + 0.15 = -10.395</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72.425</w:t>
            </w:r>
          </w:p>
        </w:tc>
      </w:tr>
    </w:tbl>
    <w:p>
      <w:pPr>
        <w:pStyle w:val="BodyText"/>
      </w:pPr>
      <w:r>
        <w:rPr>
          <w:iCs/>
          <w:i/>
        </w:rPr>
        <w:t xml:space="preserve">Note: Illustrative calculations use placeholder values: Production Energy Intensity (twlvkmgvmu) = 50 kWh/unit, Renewable Energy Usage (zilfnvlvdj) = 20%, Transport Distance (zmkesmozxe) = 1500 km, Product Lifespan (khsspifzxz) = 5 years, Energy Consumption in Use (ykuropelxh) = 20 kWh/year, Recyclability Percentage (nokkrdimud) = 70%, Product Weight = 10 kg.</w:t>
      </w:r>
    </w:p>
    <w:p>
      <w:r>
        <w:pict>
          <v:rect style="width:0;height:1.5pt" o:hralign="center" o:hrstd="t" o:hr="t"/>
        </w:pict>
      </w:r>
    </w:p>
    <w:bookmarkEnd w:id="41"/>
    <w:bookmarkEnd w:id="42"/>
    <w:bookmarkStart w:id="45"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illustrative calculations, the primary emission hotspots for</w:t>
      </w:r>
      <w:r>
        <w:t xml:space="preserve"> </w:t>
      </w:r>
      <w:r>
        <w:rPr>
          <w:bCs/>
          <w:b/>
        </w:rPr>
        <w:t xml:space="preserve">ofilwljuxj</w:t>
      </w:r>
      <w:r>
        <w:t xml:space="preserve"> </w:t>
      </w:r>
      <w:r>
        <w:t xml:space="preserve">are:</w:t>
      </w:r>
    </w:p>
    <w:p>
      <w:pPr>
        <w:numPr>
          <w:ilvl w:val="0"/>
          <w:numId w:val="1008"/>
        </w:numPr>
        <w:pStyle w:val="Compact"/>
      </w:pPr>
      <w:r>
        <w:rPr>
          <w:bCs/>
          <w:b/>
        </w:rPr>
        <w:t xml:space="preserve">Materials and Manufacturing (Scope 3 Upstream):</w:t>
      </w:r>
      <w:r>
        <w:t xml:space="preserve"> </w:t>
      </w:r>
      <w:r>
        <w:t xml:space="preserve">This stage represents a significant portion of the footprint due to the inherent emissions embedded in raw materials and their processing (38.70 kgCO2e/unit).</w:t>
      </w:r>
    </w:p>
    <w:p>
      <w:pPr>
        <w:numPr>
          <w:ilvl w:val="0"/>
          <w:numId w:val="1008"/>
        </w:numPr>
        <w:pStyle w:val="Compact"/>
      </w:pPr>
      <w:r>
        <w:rPr>
          <w:bCs/>
          <w:b/>
        </w:rPr>
        <w:t xml:space="preserve">Production Phase Energy (Scope 2):</w:t>
      </w:r>
      <w:r>
        <w:t xml:space="preserve"> </w:t>
      </w:r>
      <w:r>
        <w:t xml:space="preserve">Electricity consumption during manufacturing in China contributes substantially (24.82 kgCO2e/unit), highlighting the impact of the grid mix.</w:t>
      </w:r>
    </w:p>
    <w:p>
      <w:pPr>
        <w:numPr>
          <w:ilvl w:val="0"/>
          <w:numId w:val="1008"/>
        </w:numPr>
        <w:pStyle w:val="Compact"/>
      </w:pPr>
      <w:r>
        <w:rPr>
          <w:bCs/>
          <w:b/>
        </w:rPr>
        <w:t xml:space="preserve">Use Phase (Scope 3 Downstream):</w:t>
      </w:r>
      <w:r>
        <w:t xml:space="preserve"> </w:t>
      </w:r>
      <w:r>
        <w:t xml:space="preserve">The energy consumed by the product during its operational lifespan is also a major contributor (18.10 kgCO2e/unit), depending on user behavior and regional electricity mix.</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use of detailed primary BOM data and adherence to the GHG Protocol. However, some limitations exist:</w:t>
      </w:r>
    </w:p>
    <w:p>
      <w:pPr>
        <w:numPr>
          <w:ilvl w:val="0"/>
          <w:numId w:val="1009"/>
        </w:numPr>
        <w:pStyle w:val="Compact"/>
      </w:pPr>
      <w:r>
        <w:rPr>
          <w:bCs/>
          <w:b/>
        </w:rPr>
        <w:t xml:space="preserve">Placeholder Data:</w:t>
      </w:r>
      <w:r>
        <w:t xml:space="preserve"> </w:t>
      </w:r>
      <w:r>
        <w:t xml:space="preserve">"Select Mode" and "Delivery Type" for transport required assumptions. More specific transport modes, vehicle types, and load factors would enhance accuracy.</w:t>
      </w:r>
    </w:p>
    <w:p>
      <w:pPr>
        <w:numPr>
          <w:ilvl w:val="0"/>
          <w:numId w:val="1009"/>
        </w:numPr>
        <w:pStyle w:val="Compact"/>
      </w:pPr>
      <w:r>
        <w:rPr>
          <w:bCs/>
          <w:b/>
        </w:rPr>
        <w:t xml:space="preserve">Assumed Emission Factors:</w:t>
      </w:r>
      <w:r>
        <w:t xml:space="preserve"> </w:t>
      </w:r>
      <w:r>
        <w:t xml:space="preserve">While industry-standard (IEA, DEFRA, PwC) emission factors were used for electricity and general transport, specific values not explicitly provided in snippets required reasonable proxies.</w:t>
      </w:r>
    </w:p>
    <w:p>
      <w:pPr>
        <w:numPr>
          <w:ilvl w:val="0"/>
          <w:numId w:val="1009"/>
        </w:numPr>
        <w:pStyle w:val="Compact"/>
      </w:pPr>
      <w:r>
        <w:rPr>
          <w:bCs/>
          <w:b/>
        </w:rPr>
        <w:t xml:space="preserve">Product Weight:</w:t>
      </w:r>
      <w:r>
        <w:t xml:space="preserve"> </w:t>
      </w:r>
      <w:r>
        <w:t xml:space="preserve">The product\'s overall weight was assumed for transport and EoL calculations, as it was not provided. Providing this would improve accuracy for weight-based emissions.</w:t>
      </w:r>
    </w:p>
    <w:p>
      <w:pPr>
        <w:numPr>
          <w:ilvl w:val="0"/>
          <w:numId w:val="1009"/>
        </w:numPr>
        <w:pStyle w:val="Compact"/>
      </w:pPr>
      <w:r>
        <w:rPr>
          <w:bCs/>
          <w:b/>
        </w:rPr>
        <w:t xml:space="preserve">Circular Economy Impact:</w:t>
      </w:r>
      <w:r>
        <w:t xml:space="preserve"> </w:t>
      </w:r>
      <w:r>
        <w:t xml:space="preserve">Quantifying precise avoided emissions from "qojfyuukui" (Circular/Take-back Programs) requires more granular data on program effectiveness and actual material flows. The LSR Standard application is based on a conservative estimation.</w:t>
      </w:r>
    </w:p>
    <w:p>
      <w:r>
        <w:pict>
          <v:rect style="width:0;height:1.5pt" o:hralign="center" o:hrstd="t" o:hr="t"/>
        </w:pict>
      </w:r>
    </w:p>
    <w:bookmarkEnd w:id="44"/>
    <w:bookmarkEnd w:id="45"/>
    <w:bookmarkStart w:id="47" w:name="conclusion-and-recommendations"/>
    <w:p>
      <w:pPr>
        <w:pStyle w:val="Heading2"/>
      </w:pPr>
      <w:r>
        <w:t xml:space="preserve">5. Conclusion and Recommendations</w:t>
      </w:r>
    </w:p>
    <w:p>
      <w:pPr>
        <w:pStyle w:val="FirstParagraph"/>
      </w:pPr>
      <w:r>
        <w:t xml:space="preserve">The Product Carbon Footprint analysis for</w:t>
      </w:r>
      <w:r>
        <w:t xml:space="preserve"> </w:t>
      </w:r>
      <w:r>
        <w:rPr>
          <w:bCs/>
          <w:b/>
        </w:rPr>
        <w:t xml:space="preserve">ofilwljuxj</w:t>
      </w:r>
      <w:r>
        <w:t xml:space="preserve"> </w:t>
      </w:r>
      <w:r>
        <w:t xml:space="preserve">provides</w:t>
      </w:r>
      <w:r>
        <w:t xml:space="preserve"> </w:t>
      </w:r>
      <w:r>
        <w:rPr>
          <w:bCs/>
          <w:b/>
        </w:rPr>
        <w:t xml:space="preserve">vxuriykwun</w:t>
      </w:r>
      <w:r>
        <w:t xml:space="preserve"> </w:t>
      </w:r>
      <w:r>
        <w:t xml:space="preserve">with a robust baseline for understanding its environmental impact across the value chain. Key areas for reduction efforts include optimizing material choices, transitioning to renewable energy sources in manufacturing, and designing for lower energy consumption in the use phase and enhanced circularity at end-of-life.</w:t>
      </w:r>
    </w:p>
    <w:bookmarkStart w:id="46" w:name="recommendations"/>
    <w:p>
      <w:pPr>
        <w:pStyle w:val="Heading3"/>
      </w:pPr>
      <w:r>
        <w:t xml:space="preserve">Recommendations:</w:t>
      </w:r>
    </w:p>
    <w:p>
      <w:pPr>
        <w:numPr>
          <w:ilvl w:val="0"/>
          <w:numId w:val="1010"/>
        </w:numPr>
        <w:pStyle w:val="Compact"/>
      </w:pPr>
      <w:r>
        <w:rPr>
          <w:bCs/>
          <w:b/>
        </w:rPr>
        <w:t xml:space="preserve">Material Optimization:</w:t>
      </w:r>
      <w:r>
        <w:t xml:space="preserve"> </w:t>
      </w:r>
      <w:r>
        <w:t xml:space="preserve">Investigate opportunities to use lower-carbon alternative materials, reduce material quantities, and increase recycled content in the Bill of Materials.</w:t>
      </w:r>
    </w:p>
    <w:p>
      <w:pPr>
        <w:numPr>
          <w:ilvl w:val="0"/>
          <w:numId w:val="1010"/>
        </w:numPr>
        <w:pStyle w:val="Compact"/>
      </w:pPr>
      <w:r>
        <w:rPr>
          <w:bCs/>
          <w:b/>
        </w:rPr>
        <w:t xml:space="preserve">Renewable Energy Procurement:</w:t>
      </w:r>
      <w:r>
        <w:t xml:space="preserve"> </w:t>
      </w:r>
      <w:r>
        <w:t xml:space="preserve">Increase the percentage of renewable energy (beyond `zilfnvlvdj`) used in the manufacturing facilities in China to reduce Scope 2 emissions.</w:t>
      </w:r>
    </w:p>
    <w:p>
      <w:pPr>
        <w:numPr>
          <w:ilvl w:val="0"/>
          <w:numId w:val="1010"/>
        </w:numPr>
        <w:pStyle w:val="Compact"/>
      </w:pPr>
      <w:r>
        <w:rPr>
          <w:bCs/>
          <w:b/>
        </w:rPr>
        <w:t xml:space="preserve">Energy Efficiency:</w:t>
      </w:r>
      <w:r>
        <w:t xml:space="preserve"> </w:t>
      </w:r>
      <w:r>
        <w:t xml:space="preserve">Implement energy-saving measures in both the production and design of the product to minimize energy intensity (`twlvkmgvmu`) and energy consumption in use (`ykuropelxh`).</w:t>
      </w:r>
    </w:p>
    <w:p>
      <w:pPr>
        <w:numPr>
          <w:ilvl w:val="0"/>
          <w:numId w:val="1010"/>
        </w:numPr>
        <w:pStyle w:val="Compact"/>
      </w:pPr>
      <w:r>
        <w:rPr>
          <w:bCs/>
          <w:b/>
        </w:rPr>
        <w:t xml:space="preserve">Logistics Optimization:</w:t>
      </w:r>
      <w:r>
        <w:t xml:space="preserve"> </w:t>
      </w:r>
      <w:r>
        <w:t xml:space="preserve">Work with logistics partners to explore more carbon-efficient transport modes, optimize routes, and improve vehicle load factors. Provide specific transport mode and delivery type data for future analyses.</w:t>
      </w:r>
    </w:p>
    <w:p>
      <w:pPr>
        <w:numPr>
          <w:ilvl w:val="0"/>
          <w:numId w:val="1010"/>
        </w:numPr>
        <w:pStyle w:val="Compact"/>
      </w:pPr>
      <w:r>
        <w:rPr>
          <w:bCs/>
          <w:b/>
        </w:rPr>
        <w:t xml:space="preserve">Enhance Circularity:</w:t>
      </w:r>
      <w:r>
        <w:t xml:space="preserve"> </w:t>
      </w:r>
      <w:r>
        <w:t xml:space="preserve">Further develop and promote take-back and recycling programs (`qojfyuukui`) and strive for a higher recyclability percentage (`nokkrdimud`) to maximize carbon removals and avoided emissions in the end-of-life stage, aligning fully with the 2026 LSR Standard.</w:t>
      </w:r>
    </w:p>
    <w:p>
      <w:pPr>
        <w:numPr>
          <w:ilvl w:val="0"/>
          <w:numId w:val="1010"/>
        </w:numPr>
        <w:pStyle w:val="Compact"/>
      </w:pPr>
      <w:r>
        <w:rPr>
          <w:bCs/>
          <w:b/>
        </w:rPr>
        <w:t xml:space="preserve">Data Refinement:</w:t>
      </w:r>
      <w:r>
        <w:t xml:space="preserve"> </w:t>
      </w:r>
      <w:r>
        <w:t xml:space="preserve">Collect more precise primary data for specific transport modes, vehicle types, and actual product weight to further refine the accuracy of future PCF assessments.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ofilwljuxj</dc:title>
  <dc:creator/>
  <dc:description>Detailed Product Carbon Footprint (PCF) analysis report for product ofilwljuxj, adhering to GHG Protocol standards and 2026 LSR update, performed by mfyylhphfo for vxuriykwun.</dc:description>
  <dc:language>en</dc:language>
  <cp:keywords/>
  <dcterms:created xsi:type="dcterms:W3CDTF">2026-07-14T23:51:56Z</dcterms:created>
  <dcterms:modified xsi:type="dcterms:W3CDTF">2026-07-14T23:51:56Z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