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odumdpeqtn</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odumdpeqtn</w:t>
      </w:r>
    </w:p>
    <w:p>
      <w:pPr>
        <w:pStyle w:val="BodyText"/>
      </w:pPr>
      <w:r>
        <w:rPr>
          <w:bCs/>
          <w:b/>
        </w:rPr>
        <w:t xml:space="preserve">Company:</w:t>
      </w:r>
      <w:r>
        <w:t xml:space="preserve"> </w:t>
      </w:r>
      <w:r>
        <w:t xml:space="preserve">wqezuftxqi</w:t>
      </w:r>
    </w:p>
    <w:p>
      <w:pPr>
        <w:pStyle w:val="BodyText"/>
      </w:pPr>
      <w:r>
        <w:rPr>
          <w:bCs/>
          <w:b/>
        </w:rPr>
        <w:t xml:space="preserve">Senior Sustainability Consultant:</w:t>
      </w:r>
      <w:r>
        <w:t xml:space="preserve"> </w:t>
      </w:r>
      <w:r>
        <w:t xml:space="preserve">qqowtdreqy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bb9c5fa1f819e9e8a7169ed4b54be0f2e0f67ff"/>
    <w:p>
      <w:pPr>
        <w:pStyle w:val="Heading1"/>
      </w:pPr>
      <w:r>
        <w:t xml:space="preserve">Product Carbon Footprint Analysis Report for odumdpeqtn</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odumdpeqtn</w:t>
      </w:r>
      <w:r>
        <w:t xml:space="preserve"> </w:t>
      </w:r>
      <w:r>
        <w:t xml:space="preserve">manufactured by</w:t>
      </w:r>
      <w:r>
        <w:t xml:space="preserve"> </w:t>
      </w:r>
      <w:r>
        <w:rPr>
          <w:bCs/>
          <w:b/>
        </w:rPr>
        <w:t xml:space="preserve">wqezuftxqi</w:t>
      </w:r>
      <w:r>
        <w:t xml:space="preserve">. The analysis, conducted by Senior Sustainability Consultant</w:t>
      </w:r>
      <w:r>
        <w:t xml:space="preserve"> </w:t>
      </w:r>
      <w:r>
        <w:rPr>
          <w:bCs/>
          <w:b/>
        </w:rPr>
        <w:t xml:space="preserve">qqowtdreqy</w:t>
      </w:r>
      <w:r>
        <w:t xml:space="preserve">, adheres strictly to the GHG Protocol accounting standard, with a particular focus on the 2026 Land Sector and Removals (LSR) update and stringent Scope 3 reporting requirements. The aim is to quantify the greenhouse gas (GHG) emissions across the product\'s lifecycle, identify key emission hotspots, and provide insights for reduction strategies.</w:t>
      </w:r>
    </w:p>
    <w:bookmarkEnd w:id="22"/>
    <w:p>
      <w:r>
        <w:pict>
          <v:rect style="width:0;height:1.5pt" o:hralign="center" o:hrstd="t" o:hr="t"/>
        </w:pict>
      </w:r>
    </w:p>
    <w:bookmarkStart w:id="25" w:name="methodology-and-scope-definition"/>
    <w:p>
      <w:pPr>
        <w:pStyle w:val="Heading2"/>
      </w:pPr>
      <w:r>
        <w:t xml:space="preserve">2. Methodology and Scope Definition</w:t>
      </w:r>
    </w:p>
    <w:p>
      <w:pPr>
        <w:pStyle w:val="FirstParagraph"/>
      </w:pPr>
      <w:r>
        <w:t xml:space="preserve">The Product Carbon Footprint (PCF) analysis was conducted following the five-step methodology as prescribed by the GHG Protocol. This approach ensures a comprehensive assessment of emissions across the entire product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odumdpeqtn.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encompasses all emissions from raw material acquisition, manufacturing processes, and transportation up to the point where the finished product leaves the manufacturing facility. Additionally, the analysis extends to include the Use Phase and End-of-Life (EoL) scenarios, providing a holistic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that the use phase and end-of-life scenarios are primarily considered within a European context.</w:t>
      </w:r>
    </w:p>
    <w:p>
      <w:pPr>
        <w:numPr>
          <w:ilvl w:val="0"/>
          <w:numId w:val="1001"/>
        </w:numPr>
        <w:pStyle w:val="Compact"/>
      </w:pPr>
      <w:r>
        <w:rPr>
          <w:bCs/>
          <w:b/>
        </w:rPr>
        <w:t xml:space="preserve">Accounting Standard:</w:t>
      </w:r>
      <w:r>
        <w:t xml:space="preserve"> </w:t>
      </w:r>
      <w:r>
        <w:t xml:space="preserve">This PCF analysis is performed in strict adherence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Compact"/>
      </w:pPr>
      <w:r>
        <w:rPr>
          <w:bCs/>
          <w:b/>
        </w:rPr>
        <w:t xml:space="preserve">Allocation:</w:t>
      </w:r>
      <w:r>
        <w:t xml:space="preserve"> </w:t>
      </w:r>
      <w:r>
        <w:t xml:space="preserve">Emissions are allocated to the functional unit based on mass and energy consumption attributable to the production, use, and end-of-life phases of a single unit of odumdpeqtn.</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odumdpeqtn</w:t>
      </w:r>
      <w:r>
        <w:t xml:space="preserve"> </w:t>
      </w:r>
      <w:r>
        <w:t xml:space="preserve">has been mapped into the following stages for inventory data collection:</w:t>
      </w:r>
    </w:p>
    <w:p>
      <w:pPr>
        <w:numPr>
          <w:ilvl w:val="0"/>
          <w:numId w:val="1003"/>
        </w:numPr>
        <w:pStyle w:val="Compact"/>
      </w:pPr>
      <w:r>
        <w:rPr>
          <w:bCs/>
          <w:b/>
        </w:rPr>
        <w:t xml:space="preserve">Raw Material Acquisition &amp; Pre-processing:</w:t>
      </w:r>
      <w:r>
        <w:t xml:space="preserve"> </w:t>
      </w:r>
      <w:r>
        <w:t xml:space="preserve">Extraction, processing, and manufacturing of all raw materials and components detailed in the Bill of Materials (BOM).</w:t>
      </w:r>
    </w:p>
    <w:p>
      <w:pPr>
        <w:numPr>
          <w:ilvl w:val="0"/>
          <w:numId w:val="1003"/>
        </w:numPr>
        <w:pStyle w:val="Compact"/>
      </w:pPr>
      <w:r>
        <w:rPr>
          <w:bCs/>
          <w:b/>
        </w:rPr>
        <w:t xml:space="preserve">Manufacturing (Production):</w:t>
      </w:r>
      <w:r>
        <w:t xml:space="preserve"> </w:t>
      </w:r>
      <w:r>
        <w:t xml:space="preserve">Energy consumption and direct emissions at the</w:t>
      </w:r>
      <w:r>
        <w:t xml:space="preserve"> </w:t>
      </w:r>
      <w:r>
        <w:rPr>
          <w:bCs/>
          <w:b/>
        </w:rPr>
        <w:t xml:space="preserve">wqezuftxqi</w:t>
      </w:r>
      <w:r>
        <w:t xml:space="preserve"> </w:t>
      </w:r>
      <w:r>
        <w:t xml:space="preserve">manufacturing facility in China.</w:t>
      </w:r>
    </w:p>
    <w:p>
      <w:pPr>
        <w:numPr>
          <w:ilvl w:val="0"/>
          <w:numId w:val="1003"/>
        </w:numPr>
        <w:pStyle w:val="Compact"/>
      </w:pPr>
      <w:r>
        <w:rPr>
          <w:bCs/>
          <w:b/>
        </w:rPr>
        <w:t xml:space="preserve">Transportation &amp; Distribution:</w:t>
      </w:r>
      <w:r>
        <w:t xml:space="preserve"> </w:t>
      </w:r>
      <w:r>
        <w:t xml:space="preserve">Logistics from suppliers to the factory (upstream) and from the factory to the customer (downstream), including last-mile delivery.</w:t>
      </w:r>
    </w:p>
    <w:p>
      <w:pPr>
        <w:numPr>
          <w:ilvl w:val="0"/>
          <w:numId w:val="1003"/>
        </w:numPr>
        <w:pStyle w:val="Compact"/>
      </w:pPr>
      <w:r>
        <w:rPr>
          <w:bCs/>
          <w:b/>
        </w:rPr>
        <w:t xml:space="preserve">Use Phase:</w:t>
      </w:r>
      <w:r>
        <w:t xml:space="preserve"> </w:t>
      </w:r>
      <w:r>
        <w:t xml:space="preserve">Energy consumption during the anticipated lifespan of the product by the end-user.</w:t>
      </w:r>
    </w:p>
    <w:p>
      <w:pPr>
        <w:numPr>
          <w:ilvl w:val="0"/>
          <w:numId w:val="1003"/>
        </w:numPr>
        <w:pStyle w:val="Compact"/>
      </w:pPr>
      <w:r>
        <w:rPr>
          <w:bCs/>
          <w:b/>
        </w:rPr>
        <w:t xml:space="preserve">End-of-Life (EoL):</w:t>
      </w:r>
      <w:r>
        <w:t xml:space="preserve"> </w:t>
      </w:r>
      <w:r>
        <w:t xml:space="preserve">Disposal, recycling, and circular economy impacts at the end of the product\'s lifespan.</w:t>
      </w:r>
    </w:p>
    <w:bookmarkEnd w:id="24"/>
    <w:bookmarkEnd w:id="25"/>
    <w:p>
      <w:r>
        <w:pict>
          <v:rect style="width:0;height:1.5pt" o:hralign="center" o:hrstd="t" o:hr="t"/>
        </w:pict>
      </w:r>
    </w:p>
    <w:bookmarkStart w:id="31" w:name="data-collection"/>
    <w:p>
      <w:pPr>
        <w:pStyle w:val="Heading2"/>
      </w:pPr>
      <w:r>
        <w:t xml:space="preserve">3. Data Collection</w:t>
      </w:r>
    </w:p>
    <w:p>
      <w:pPr>
        <w:pStyle w:val="FirstParagraph"/>
      </w:pPr>
      <w:r>
        <w:t xml:space="preserve">Data for the PCF analysis was collected from primary and secondary sources, with an emphasis on specificity where available and reliance on robust industry averages for generic data points. The following parameters and data were used:</w:t>
      </w:r>
    </w:p>
    <w:bookmarkStart w:id="26" w:name="Xad6d1bf3cee5d6b80a70dd0c229e8abc26159e4"/>
    <w:p>
      <w:pPr>
        <w:pStyle w:val="Heading3"/>
      </w:pPr>
      <w:r>
        <w:t xml:space="preserve">3.1. Detailed Bill of Materials (BOM) - gdhqgzln</w:t>
      </w:r>
    </w:p>
    <w:p>
      <w:pPr>
        <w:pStyle w:val="FirstParagraph"/>
      </w:pPr>
      <w:r>
        <w:t xml:space="preserve">The provided Detailed Bill of Materials (BOM) for</w:t>
      </w:r>
      <w:r>
        <w:t xml:space="preserve"> </w:t>
      </w:r>
      <w:r>
        <w:rPr>
          <w:bCs/>
          <w:b/>
        </w:rPr>
        <w:t xml:space="preserve">odumdpeqtn</w:t>
      </w:r>
      <w:r>
        <w:t xml:space="preserve"> </w:t>
      </w:r>
      <w:r>
        <w:t xml:space="preserve">was used for high-accuracy material impact calculation. The \'Total Carbon\' values in the BOM are directly incorporated as cradle-to-gate emissions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w:t>
            </w:r>
          </w:p>
        </w:tc>
        <w:tc>
          <w:tcPr/>
          <w:p>
            <w:pPr>
              <w:pStyle w:val="Compact"/>
              <w:jc w:val="left"/>
            </w:pPr>
            <w:r>
              <w:t xml:space="preserve">kg</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bl>
    <w:p>
      <w:pPr>
        <w:pStyle w:val="BodyText"/>
      </w:pPr>
      <w:r>
        <w:rPr>
          <w:bCs/>
          <w:b/>
        </w:rPr>
        <w:t xml:space="preserve">Total Material &amp; Manufacturing Impact (from BOM):</w:t>
      </w:r>
      <w:r>
        <w:t xml:space="preserve"> </w:t>
      </w:r>
      <w:r>
        <w:t xml:space="preserve">5.5 kg CO2e</w:t>
      </w:r>
    </w:p>
    <w:bookmarkEnd w:id="26"/>
    <w:bookmarkStart w:id="27" w:name="logistics-data"/>
    <w:p>
      <w:pPr>
        <w:pStyle w:val="Heading3"/>
      </w:pPr>
      <w:r>
        <w:t xml:space="preserve">3.2. Logistics Data</w:t>
      </w:r>
    </w:p>
    <w:p>
      <w:pPr>
        <w:numPr>
          <w:ilvl w:val="0"/>
          <w:numId w:val="1004"/>
        </w:numPr>
        <w:pStyle w:val="Compact"/>
      </w:pPr>
      <w:r>
        <w:rPr>
          <w:bCs/>
          <w:b/>
        </w:rPr>
        <w:t xml:space="preserve">Transport Mode:</w:t>
      </w:r>
      <w:r>
        <w:t xml:space="preserve"> </w:t>
      </w:r>
      <w:r>
        <w:t xml:space="preserve">Select Mode (assumed to be a combination of Sea Freight for primary transport and Road Freight for last-mile delivery from China to Europe).</w:t>
      </w:r>
    </w:p>
    <w:p>
      <w:pPr>
        <w:numPr>
          <w:ilvl w:val="0"/>
          <w:numId w:val="1004"/>
        </w:numPr>
        <w:pStyle w:val="Compact"/>
      </w:pPr>
      <w:r>
        <w:rPr>
          <w:bCs/>
          <w:b/>
        </w:rPr>
        <w:t xml:space="preserve">Transport Distance:</w:t>
      </w:r>
      <w:r>
        <w:t xml:space="preserve"> </w:t>
      </w:r>
      <w:r>
        <w:t xml:space="preserve">qjgquiqvwl (Assumed for calculation: 10,000 km total distance from factory gate to European point of use).</w:t>
      </w:r>
    </w:p>
    <w:p>
      <w:pPr>
        <w:numPr>
          <w:ilvl w:val="0"/>
          <w:numId w:val="1004"/>
        </w:numPr>
        <w:pStyle w:val="Compact"/>
      </w:pPr>
      <w:r>
        <w:rPr>
          <w:bCs/>
          <w:b/>
        </w:rPr>
        <w:t xml:space="preserve">Last-Mile Delivery Channel:</w:t>
      </w:r>
      <w:r>
        <w:t xml:space="preserve"> </w:t>
      </w:r>
      <w:r>
        <w:t xml:space="preserve">Delivery Type (incorporated as Road Freight).</w:t>
      </w:r>
    </w:p>
    <w:p>
      <w:pPr>
        <w:numPr>
          <w:ilvl w:val="0"/>
          <w:numId w:val="1004"/>
        </w:numPr>
        <w:pStyle w:val="Compact"/>
      </w:pPr>
      <w:r>
        <w:rPr>
          <w:bCs/>
          <w:b/>
        </w:rPr>
        <w:t xml:space="preserve">Assumed Product Weight for Transport:</w:t>
      </w:r>
      <w:r>
        <w:t xml:space="preserve"> </w:t>
      </w:r>
      <w:r>
        <w:t xml:space="preserve">1.0 kg (0.001 tonnes). This is an assumption as specific product weight was not provided.</w:t>
      </w:r>
    </w:p>
    <w:bookmarkEnd w:id="27"/>
    <w:bookmarkStart w:id="28" w:name="production-energy-data"/>
    <w:p>
      <w:pPr>
        <w:pStyle w:val="Heading3"/>
      </w:pPr>
      <w:r>
        <w:t xml:space="preserve">3.3. Production Energy Data</w:t>
      </w:r>
    </w:p>
    <w:p>
      <w:pPr>
        <w:numPr>
          <w:ilvl w:val="0"/>
          <w:numId w:val="1005"/>
        </w:numPr>
        <w:pStyle w:val="Compact"/>
      </w:pPr>
      <w:r>
        <w:rPr>
          <w:bCs/>
          <w:b/>
        </w:rPr>
        <w:t xml:space="preserve">Renewable Energy Usage:</w:t>
      </w:r>
      <w:r>
        <w:t xml:space="preserve"> </w:t>
      </w:r>
      <w:r>
        <w:t xml:space="preserve">uimxgeimuu (Assumed for calculation: 20%). This percentage reduces the reliance on grid electricity emissions.</w:t>
      </w:r>
    </w:p>
    <w:p>
      <w:pPr>
        <w:numPr>
          <w:ilvl w:val="0"/>
          <w:numId w:val="1005"/>
        </w:numPr>
        <w:pStyle w:val="Compact"/>
      </w:pPr>
      <w:r>
        <w:rPr>
          <w:bCs/>
          <w:b/>
        </w:rPr>
        <w:t xml:space="preserve">Energy Intensity (kWh/unit):</w:t>
      </w:r>
      <w:r>
        <w:t xml:space="preserve"> </w:t>
      </w:r>
      <w:r>
        <w:t xml:space="preserve">ruktfurqgr (Assumed for calculation: 50 kWh/unit).</w:t>
      </w:r>
    </w:p>
    <w:p>
      <w:pPr>
        <w:numPr>
          <w:ilvl w:val="0"/>
          <w:numId w:val="1005"/>
        </w:numPr>
        <w:pStyle w:val="Compact"/>
      </w:pPr>
      <w:r>
        <w:rPr>
          <w:bCs/>
          <w:b/>
        </w:rPr>
        <w:t xml:space="preserve">China Grid Emission Factor:</w:t>
      </w:r>
      <w:r>
        <w:t xml:space="preserve"> </w:t>
      </w:r>
      <w:r>
        <w:t xml:space="preserve">0.6205 kg CO2e/kWh (2023 national average).</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mkptygemdd (Assumed for calculation: 5 years).</w:t>
      </w:r>
    </w:p>
    <w:p>
      <w:pPr>
        <w:numPr>
          <w:ilvl w:val="0"/>
          <w:numId w:val="1006"/>
        </w:numPr>
        <w:pStyle w:val="Compact"/>
      </w:pPr>
      <w:r>
        <w:rPr>
          <w:bCs/>
          <w:b/>
        </w:rPr>
        <w:t xml:space="preserve">Energy Consumption in Use:</w:t>
      </w:r>
      <w:r>
        <w:t xml:space="preserve"> </w:t>
      </w:r>
      <w:r>
        <w:t xml:space="preserve">zvpewzulzr (Assumed for calculation: 10 kWh/year).</w:t>
      </w:r>
    </w:p>
    <w:p>
      <w:pPr>
        <w:numPr>
          <w:ilvl w:val="0"/>
          <w:numId w:val="1006"/>
        </w:numPr>
        <w:pStyle w:val="Compact"/>
      </w:pPr>
      <w:r>
        <w:rPr>
          <w:bCs/>
          <w:b/>
        </w:rPr>
        <w:t xml:space="preserve">Europe Average Grid Emission Factor:</w:t>
      </w:r>
      <w:r>
        <w:t xml:space="preserve"> </w:t>
      </w:r>
      <w:r>
        <w:t xml:space="preserve">0.2883 kg CO2e/kWh (EU-27 average 2021).</w:t>
      </w:r>
    </w:p>
    <w:bookmarkEnd w:id="29"/>
    <w:bookmarkStart w:id="30"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uxjvhpkdgo (Assumed for calculation: 70%). This represents the percentage of the product\'s material that is technically recyclable.</w:t>
      </w:r>
    </w:p>
    <w:p>
      <w:pPr>
        <w:numPr>
          <w:ilvl w:val="0"/>
          <w:numId w:val="1007"/>
        </w:numPr>
        <w:pStyle w:val="Compact"/>
      </w:pPr>
      <w:r>
        <w:rPr>
          <w:bCs/>
          <w:b/>
        </w:rPr>
        <w:t xml:space="preserve">Circular/Take-back Programs:</w:t>
      </w:r>
      <w:r>
        <w:t xml:space="preserve"> </w:t>
      </w:r>
      <w:r>
        <w:t xml:space="preserve">ifzyosrutr. The existence of circular/take-back programs is acknowledged as a positive initiative to enhance product circularity, potentially further reducing end-of-life impacts.</w:t>
      </w:r>
    </w:p>
    <w:bookmarkEnd w:id="30"/>
    <w:bookmarkEnd w:id="31"/>
    <w:p>
      <w:r>
        <w:pict>
          <v:rect style="width:0;height:1.5pt" o:hralign="center" o:hrstd="t" o:hr="t"/>
        </w:pict>
      </w:r>
    </w:p>
    <w:bookmarkStart w:id="35" w:name="Xdd1c2ba429305467bad58a0828410d9d0fce25c"/>
    <w:p>
      <w:pPr>
        <w:pStyle w:val="Heading2"/>
      </w:pPr>
      <w:r>
        <w:t xml:space="preserve">4. Emissions Calculation (Activity * Emission Factor = CO2e)</w:t>
      </w:r>
    </w:p>
    <w:p>
      <w:pPr>
        <w:pStyle w:val="FirstParagraph"/>
      </w:pPr>
      <w:r>
        <w:t xml:space="preserve">Emissions were calculated for each lifecycle stage and categorized according to the GHG Protocol Scopes. Industry-standard emission factors were applied, primarily from reputable sources such as DEFRA and general industry averages, as identified through Google searches.</w:t>
      </w:r>
    </w:p>
    <w:p>
      <w:pPr>
        <w:pStyle w:val="BodyText"/>
      </w:pPr>
      <w:r>
        <w:t xml:space="preserve">1, \'Description\' =&gt; \'Steel Chassis\', \'Category\' =&gt; \'Metal\', \'Process\' =&gt; \'Stamping\', \'Qty\' =&gt; 1, \'Unit\' =&gt; \'kg\', \'Emission Factor\' =&gt; 2.5, \'Total Carbon\' =&gt; 2.5],</w:t>
      </w:r>
      <w:r>
        <w:t xml:space="preserve"> </w:t>
      </w:r>
      <w:r>
        <w:t xml:space="preserve">[\'ID\' =&gt; 2, \'Description\' =&gt; \'Plastic Casing\', \'Category\' =&gt; \'Plastic\', \'Process\' =&gt; \'Molding\', \'Qty\' =&gt; 0.5, \'Unit\' =&gt; \'kg\', \'Emission Factor\' =&gt; 1.8, \'Total Carbon\' =&gt; 0.9],</w:t>
      </w:r>
      <w:r>
        <w:t xml:space="preserve"> </w:t>
      </w:r>
      <w:r>
        <w:t xml:space="preserve">[\'ID\' =&gt; 3, \'Description\' =&gt; \'Copper Wiring\', \'Category\' =&gt; \'Metal\', \'Process\' =&gt; \'Extrusion\', \'Qty\' =&gt; 0.2, \'Unit\' =&gt; \'kg\', \'Emission Factor\' =&gt; 3.0, \'Total Carbon\' =&gt; 0.6],</w:t>
      </w:r>
      <w:r>
        <w:t xml:space="preserve"> </w:t>
      </w:r>
      <w:r>
        <w:t xml:space="preserve">[\'ID\' =&gt; 4, \'Description\' =&gt; \'Electronic Components\', \'Category\' =&gt; \'Electronics\', \'Process\' =&gt; \'Assembly\', \'Qty\' =&gt; 0.1, \'Unit\' =&gt; \'kg\', \'Emission Factor\' =&gt; 15.0, \'Total Carbon\' =&gt; 1.5],</w:t>
      </w:r>
      <w:r>
        <w:t xml:space="preserve"> </w:t>
      </w:r>
      <w:r>
        <w:t xml:space="preserve">];</w:t>
      </w:r>
      <w:r>
        <w:t xml:space="preserve"> </w:t>
      </w:r>
      <w:r>
        <w:t xml:space="preserve">$transport_distance_total_km = 10000; // qjgquiqvwl</w:t>
      </w:r>
      <w:r>
        <w:t xml:space="preserve"> </w:t>
      </w:r>
      <w:r>
        <w:t xml:space="preserve">$renewable_energy_usage_pct = 20; // uimxgeimuu</w:t>
      </w:r>
      <w:r>
        <w:t xml:space="preserve"> </w:t>
      </w:r>
      <w:r>
        <w:t xml:space="preserve">$energy_intensity_production_kwh_unit = 50; // ruktfurqgr</w:t>
      </w:r>
      <w:r>
        <w:t xml:space="preserve"> </w:t>
      </w:r>
      <w:r>
        <w:t xml:space="preserve">$product_lifespan_years = 5; // mkptygemdd</w:t>
      </w:r>
      <w:r>
        <w:t xml:space="preserve"> </w:t>
      </w:r>
      <w:r>
        <w:t xml:space="preserve">$energy_consumption_in_use_kwh_year = 10; // zvpewzulzr</w:t>
      </w:r>
      <w:r>
        <w:t xml:space="preserve"> </w:t>
      </w:r>
      <w:r>
        <w:t xml:space="preserve">$recyclability_percentage = 70; // uxjvhpkdgo</w:t>
      </w:r>
      <w:r>
        <w:t xml:space="preserve"> </w:t>
      </w:r>
      <w:r>
        <w:t xml:space="preserve">$circular_programs = "ifzyosrutr"; // text</w:t>
      </w:r>
      <w:r>
        <w:t xml:space="preserve"> </w:t>
      </w:r>
      <w:r>
        <w:t xml:space="preserve">// Assumed Product Weight for transport (in tonnes)</w:t>
      </w:r>
      <w:r>
        <w:t xml:space="preserve"> </w:t>
      </w:r>
      <w:r>
        <w:t xml:space="preserve">$product_weight_kg = 1.0;</w:t>
      </w:r>
      <w:r>
        <w:t xml:space="preserve"> </w:t>
      </w:r>
      <w:r>
        <w:t xml:space="preserve">$product_weight_tonnes = $product_weight_kg / 1000; // 0.001 tonnes</w:t>
      </w:r>
      <w:r>
        <w:t xml:space="preserve"> </w:t>
      </w:r>
      <w:r>
        <w:t xml:space="preserve">// Emission Factors</w:t>
      </w:r>
      <w:r>
        <w:t xml:space="preserve"> </w:t>
      </w:r>
      <w:r>
        <w:t xml:space="preserve">$china_grid_ef_kgco2e_kwh = 0.6205; //</w:t>
      </w:r>
      <w:r>
        <w:t xml:space="preserve"> </w:t>
      </w:r>
      <w:r>
        <w:t xml:space="preserve">$europe_grid_ef_kgco2e_kwh = 0.2883; //</w:t>
      </w:r>
      <w:r>
        <w:t xml:space="preserve"> </w:t>
      </w:r>
      <w:r>
        <w:t xml:space="preserve">$sea_freight_ef_kgco2e_tkm = 0.016; // (16 gCO2e/tkm = 0.016 kgCO2e/tkm)</w:t>
      </w:r>
      <w:r>
        <w:t xml:space="preserve"> </w:t>
      </w:r>
      <w:r>
        <w:t xml:space="preserve">$road_freight_ef_kgco2e_tkm = 0.105; // (0.21kg CO2e for 1000km, 2kg package = 0.105 kgCO2e/tkm)</w:t>
      </w:r>
      <w:r>
        <w:t xml:space="preserve"> </w:t>
      </w:r>
      <w:r>
        <w:t xml:space="preserve">// 1. Materials &amp; Manufacturing (Scope 3, Category 1)</w:t>
      </w:r>
      <w:r>
        <w:t xml:space="preserve"> </w:t>
      </w:r>
      <w:r>
        <w:t xml:space="preserve">$total_material_impact_kgco2e = 0;</w:t>
      </w:r>
      <w:r>
        <w:t xml:space="preserve"> </w:t>
      </w:r>
      <w:r>
        <w:t xml:space="preserve">foreach ($bom_data as $item) {</w:t>
      </w:r>
      <w:r>
        <w:t xml:space="preserve"> </w:t>
      </w:r>
      <w:r>
        <w:t xml:space="preserve">$total_material_impact_kgco2e += $item[\'Total Carbon\'];</w:t>
      </w:r>
      <w:r>
        <w:t xml:space="preserve"> </w:t>
      </w:r>
      <w:r>
        <w:t xml:space="preserve">}</w:t>
      </w:r>
      <w:r>
        <w:t xml:space="preserve"> </w:t>
      </w:r>
      <w:r>
        <w:t xml:space="preserve">// 2. Production Energy (Scope 2)</w:t>
      </w:r>
      <w:r>
        <w:t xml:space="preserve"> </w:t>
      </w:r>
      <w:r>
        <w:t xml:space="preserve">$non_renewable_energy_pct = (100 - $renewable_energy_usage_pct) / 100;</w:t>
      </w:r>
      <w:r>
        <w:t xml:space="preserve"> </w:t>
      </w:r>
      <w:r>
        <w:t xml:space="preserve">$production_energy_consumed_kwh = $energy_intensity_production_kwh_unit;</w:t>
      </w:r>
      <w:r>
        <w:t xml:space="preserve"> </w:t>
      </w:r>
      <w:r>
        <w:t xml:space="preserve">$production_emissions_kgco2e = $production_energy_consumed_kwh * $non_renewable_energy_pct * $china_grid_ef_kgco2e_kwh;</w:t>
      </w:r>
      <w:r>
        <w:t xml:space="preserve"> </w:t>
      </w:r>
      <w:r>
        <w:t xml:space="preserve">// 3. Transport (Scope 3, Category 4)</w:t>
      </w:r>
      <w:r>
        <w:t xml:space="preserve"> </w:t>
      </w:r>
      <w:r>
        <w:t xml:space="preserve">// Assuming 90% sea freight, 10% road freight for the total distance</w:t>
      </w:r>
      <w:r>
        <w:t xml:space="preserve"> </w:t>
      </w:r>
      <w:r>
        <w:t xml:space="preserve">$sea_freight_distance_km = $transport_distance_total_km * 0.9;</w:t>
      </w:r>
      <w:r>
        <w:t xml:space="preserve"> </w:t>
      </w:r>
      <w:r>
        <w:t xml:space="preserve">$road_freight_distance_km = $transport_distance_total_km * 0.1;</w:t>
      </w:r>
      <w:r>
        <w:t xml:space="preserve"> </w:t>
      </w:r>
      <w:r>
        <w:t xml:space="preserve">$sea_freight_emissions_kgco2e = $product_weight_tonnes * $sea_freight_distance_km * $sea_freight_ef_kgco2e_tkm;</w:t>
      </w:r>
      <w:r>
        <w:t xml:space="preserve"> </w:t>
      </w:r>
      <w:r>
        <w:t xml:space="preserve">$road_freight_emissions_kgco2e = $product_weight_tonnes * $road_freight_distance_km * $road_freight_ef_kgco2e_tkm;</w:t>
      </w:r>
      <w:r>
        <w:t xml:space="preserve"> </w:t>
      </w:r>
      <w:r>
        <w:t xml:space="preserve">$total_transport_emissions_kgco2e = $sea_freight_emissions_kgco2e + $road_freight_emissions_kgco2e;</w:t>
      </w:r>
      <w:r>
        <w:t xml:space="preserve"> </w:t>
      </w:r>
      <w:r>
        <w:t xml:space="preserve">// 4. Use Phase (Scope 3, Category 11)</w:t>
      </w:r>
      <w:r>
        <w:t xml:space="preserve"> </w:t>
      </w:r>
      <w:r>
        <w:t xml:space="preserve">$total_use_phase_energy_kwh = $energy_consumption_in_use_kwh_year * $product_lifespan_years;</w:t>
      </w:r>
      <w:r>
        <w:t xml:space="preserve"> </w:t>
      </w:r>
      <w:r>
        <w:t xml:space="preserve">$use_phase_emissions_kgco2e = $total_use_phase_energy_kwh * $europe_grid_ef_kgco2e_kwh;</w:t>
      </w:r>
      <w:r>
        <w:t xml:space="preserve"> </w:t>
      </w:r>
      <w:r>
        <w:t xml:space="preserve">// 5. End-of-Life (Scope 3, Category 12)</w:t>
      </w:r>
      <w:r>
        <w:t xml:space="preserve"> </w:t>
      </w:r>
      <w:r>
        <w:t xml:space="preserve">// Simplified EoL calculation: Assume a baseline EoL burden is 10% of material impact if not recycled.</w:t>
      </w:r>
      <w:r>
        <w:t xml:space="preserve"> </w:t>
      </w:r>
      <w:r>
        <w:t xml:space="preserve">// Assume 50% of material emissions are avoided if recycled.</w:t>
      </w:r>
      <w:r>
        <w:t xml:space="preserve"> </w:t>
      </w:r>
      <w:r>
        <w:t xml:space="preserve">$material_emissions_for_eol_baseline = $total_material_impact_kgco2e; // Using total material impact as a proxy for EoL potential</w:t>
      </w:r>
      <w:r>
        <w:t xml:space="preserve"> </w:t>
      </w:r>
      <w:r>
        <w:t xml:space="preserve">$non_recycled_portion = (100 - $recyclability_percentage) / 100;</w:t>
      </w:r>
      <w:r>
        <w:t xml:space="preserve"> </w:t>
      </w:r>
      <w:r>
        <w:t xml:space="preserve">$recycled_portion = $recyclability_percentage / 100;</w:t>
      </w:r>
      <w:r>
        <w:t xml:space="preserve"> </w:t>
      </w:r>
      <w:r>
        <w:t xml:space="preserve">// Burden from non-recycled waste (simplified: 10% of its material emission)</w:t>
      </w:r>
      <w:r>
        <w:t xml:space="preserve"> </w:t>
      </w:r>
      <w:r>
        <w:t xml:space="preserve">$eol_burden_kgco2e = $material_emissions_for_eol_baseline * $non_recycled_portion * 0.10;</w:t>
      </w:r>
      <w:r>
        <w:t xml:space="preserve"> </w:t>
      </w:r>
      <w:r>
        <w:t xml:space="preserve">// Avoided emissions from recycling (simplified: 50% of original material emissions for the recycled portion)</w:t>
      </w:r>
      <w:r>
        <w:t xml:space="preserve"> </w:t>
      </w:r>
      <w:r>
        <w:t xml:space="preserve">$avoided_emissions_kgco2e = $material_emissions_for_eol_baseline * $recycled_portion * 0.50;</w:t>
      </w:r>
      <w:r>
        <w:t xml:space="preserve"> </w:t>
      </w:r>
      <w:r>
        <w:t xml:space="preserve">$net_eol_emissions_kgco2e = $eol_burden_kgco2e - $avoided_emissions_kgco2e;</w:t>
      </w:r>
      <w:r>
        <w:t xml:space="preserve"> </w:t>
      </w:r>
      <w:r>
        <w:t xml:space="preserve">// Total PCF</w:t>
      </w:r>
      <w:r>
        <w:t xml:space="preserve"> </w:t>
      </w:r>
      <w:r>
        <w:t xml:space="preserve">$total_pcf_kgco2e = $total_material_impact_kgco2e + $production_emissions_kgco2e + $total_transport_emissions_kgco2e + $use_phase_emissions_kgco2e + $net_eol_emissions_kgco2e;</w:t>
      </w:r>
      <w:r>
        <w:t xml:space="preserve"> </w:t>
      </w:r>
      <w:r>
        <w:t xml:space="preserve">?&gt;</w:t>
      </w:r>
    </w:p>
    <w:bookmarkStart w:id="32" w:name="lifecycle-emission-breakdown"/>
    <w:p>
      <w:pPr>
        <w:pStyle w:val="Heading3"/>
      </w:pPr>
      <w:r>
        <w:t xml:space="preserve">4.1. Lifecycle Emission Breakdown</w:t>
      </w:r>
    </w:p>
    <w:p>
      <w:pPr>
        <w:pStyle w:val="FirstParagraph"/>
      </w:pPr>
      <w:r>
        <w:t xml:space="preserve">The following table provides a detailed breakdown of emissions across the product\'s lifecycle, categorized by GHG Protocol scopes.</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c>
          <w:tcPr/>
          <w:p>
            <w:pPr>
              <w:pStyle w:val="Compact"/>
              <w:jc w:val="left"/>
            </w:pPr>
            <w:r>
              <w:t xml:space="preserve">Notes/Assumptions</w:t>
            </w:r>
          </w:p>
        </w:tc>
      </w:tr>
      <w:tr>
        <w:tc>
          <w:tcPr/>
          <w:p>
            <w:pPr>
              <w:pStyle w:val="Compact"/>
              <w:jc w:val="left"/>
            </w:pPr>
            <w:r>
              <w:t xml:space="preserve">Materials &amp; Manufacturing (from BOM)</w:t>
            </w:r>
          </w:p>
        </w:tc>
        <w:tc>
          <w:tcPr/>
          <w:p>
            <w:pPr>
              <w:pStyle w:val="Compact"/>
              <w:jc w:val="left"/>
            </w:pPr>
            <w:r>
              <w:t xml:space="preserve">Scope 3, Category 1 (Purchased Goods &amp; Services)</w:t>
            </w:r>
          </w:p>
        </w:tc>
        <w:tc>
          <w:tcPr/>
          <w:p>
            <w:pPr>
              <w:pStyle w:val="Compact"/>
            </w:pPr>
          </w:p>
        </w:tc>
        <w:tc>
          <w:tcPr/>
          <w:p>
            <w:pPr>
              <w:pStyle w:val="Compact"/>
              <w:jc w:val="left"/>
            </w:pPr>
            <w:r>
              <w:t xml:space="preserve">Sum of \'Total Carbon\' from provided BOM.</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pPr>
          </w:p>
        </w:tc>
        <w:tc>
          <w:tcPr/>
          <w:p>
            <w:pPr>
              <w:pStyle w:val="Compact"/>
              <w:jc w:val="left"/>
            </w:pPr>
            <w:r>
              <w:t xml:space="preserve">Based on</w:t>
            </w:r>
          </w:p>
          <w:p>
            <w:pPr>
              <w:pStyle w:val="Compact"/>
              <w:jc w:val="left"/>
            </w:pPr>
            <w:r>
              <w:t xml:space="preserve">kWh/unit energy intensity,</w:t>
            </w:r>
          </w:p>
          <w:p>
            <w:pPr>
              <w:pStyle w:val="Compact"/>
              <w:jc w:val="left"/>
            </w:pPr>
            <w:r>
              <w:t xml:space="preserve">% renewable energy, and China grid EF (</w:t>
            </w:r>
          </w:p>
          <w:p>
            <w:pPr>
              <w:pStyle w:val="Compact"/>
              <w:jc w:val="left"/>
            </w:pPr>
            <w:r>
              <w:t xml:space="preserve">kg CO2e/kWh).</w:t>
            </w:r>
          </w:p>
        </w:tc>
      </w:tr>
      <w:tr>
        <w:tc>
          <w:tcPr/>
          <w:p>
            <w:pPr>
              <w:pStyle w:val="Compact"/>
              <w:jc w:val="left"/>
            </w:pPr>
            <w:r>
              <w:t xml:space="preserve">Transport (Upstream &amp; Downstream)</w:t>
            </w:r>
          </w:p>
        </w:tc>
        <w:tc>
          <w:tcPr/>
          <w:p>
            <w:pPr>
              <w:pStyle w:val="Compact"/>
              <w:jc w:val="left"/>
            </w:pPr>
            <w:r>
              <w:t xml:space="preserve">Scope 3, Category 4 (Upstream T&amp;D)</w:t>
            </w:r>
          </w:p>
        </w:tc>
        <w:tc>
          <w:tcPr/>
          <w:p>
            <w:pPr>
              <w:pStyle w:val="Compact"/>
            </w:pPr>
          </w:p>
        </w:tc>
        <w:tc>
          <w:tcPr/>
          <w:p>
            <w:pPr>
              <w:pStyle w:val="Compact"/>
              <w:jc w:val="left"/>
            </w:pPr>
            <w:r>
              <w:t xml:space="preserve">Assumed total distance:</w:t>
            </w:r>
          </w:p>
          <w:p>
            <w:pPr>
              <w:pStyle w:val="Compact"/>
              <w:jc w:val="left"/>
            </w:pPr>
            <w:r>
              <w:t xml:space="preserve">km. Split: 90% Sea Freight (</w:t>
            </w:r>
          </w:p>
          <w:p>
            <w:pPr>
              <w:pStyle w:val="Compact"/>
              <w:jc w:val="left"/>
            </w:pPr>
            <w:r>
              <w:t xml:space="preserve">km) and 10% Road Freight (</w:t>
            </w:r>
          </w:p>
          <w:p>
            <w:pPr>
              <w:pStyle w:val="Compact"/>
              <w:jc w:val="left"/>
            </w:pPr>
            <w:r>
              <w:t xml:space="preserve">km). Product weight:</w:t>
            </w:r>
          </w:p>
          <w:p>
            <w:pPr>
              <w:pStyle w:val="Compact"/>
              <w:jc w:val="left"/>
            </w:pPr>
            <w:r>
              <w:t xml:space="preserve">kg. Sea freight EF:</w:t>
            </w:r>
          </w:p>
          <w:p>
            <w:pPr>
              <w:pStyle w:val="Compact"/>
              <w:jc w:val="left"/>
            </w:pPr>
            <w:r>
              <w:t xml:space="preserve">kg CO2e/tkm. Road freight EF:</w:t>
            </w:r>
          </w:p>
          <w:p>
            <w:pPr>
              <w:pStyle w:val="Compact"/>
              <w:jc w:val="left"/>
            </w:pPr>
            <w:r>
              <w:t xml:space="preserve">kg CO2e/tkm.</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pPr>
          </w:p>
        </w:tc>
        <w:tc>
          <w:tcPr/>
          <w:p>
            <w:pPr>
              <w:pStyle w:val="Compact"/>
              <w:jc w:val="left"/>
            </w:pPr>
            <w:r>
              <w:t xml:space="preserve">Based on</w:t>
            </w:r>
          </w:p>
          <w:p>
            <w:pPr>
              <w:pStyle w:val="Compact"/>
              <w:jc w:val="left"/>
            </w:pPr>
            <w:r>
              <w:t xml:space="preserve">kWh/year for</w:t>
            </w:r>
          </w:p>
          <w:p>
            <w:pPr>
              <w:pStyle w:val="Compact"/>
              <w:jc w:val="left"/>
            </w:pPr>
            <w:r>
              <w:t xml:space="preserve">years, using Europe grid EF (</w:t>
            </w:r>
          </w:p>
          <w:p>
            <w:pPr>
              <w:pStyle w:val="Compact"/>
              <w:jc w:val="left"/>
            </w:pPr>
            <w:r>
              <w:t xml:space="preserve">kg CO2e/kWh).</w:t>
            </w:r>
          </w:p>
        </w:tc>
      </w:tr>
      <w:tr>
        <w:tc>
          <w:tcPr/>
          <w:p>
            <w:pPr>
              <w:pStyle w:val="Compact"/>
              <w:jc w:val="left"/>
            </w:pPr>
            <w:r>
              <w:t xml:space="preserve">End-of-Life (Net)</w:t>
            </w:r>
          </w:p>
        </w:tc>
        <w:tc>
          <w:tcPr/>
          <w:p>
            <w:pPr>
              <w:pStyle w:val="Compact"/>
              <w:jc w:val="left"/>
            </w:pPr>
            <w:r>
              <w:t xml:space="preserve">Scope 3, Category 12 (EoL Treatment of Sold Products)</w:t>
            </w:r>
          </w:p>
        </w:tc>
        <w:tc>
          <w:tcPr/>
          <w:p>
            <w:pPr>
              <w:pStyle w:val="Compact"/>
            </w:pPr>
          </w:p>
        </w:tc>
        <w:tc>
          <w:tcPr/>
          <w:p>
            <w:pPr>
              <w:pStyle w:val="Compact"/>
              <w:jc w:val="left"/>
            </w:pPr>
            <w:r>
              <w:t xml:space="preserve">Based on</w:t>
            </w:r>
          </w:p>
          <w:p>
            <w:pPr>
              <w:pStyle w:val="Compact"/>
              <w:jc w:val="left"/>
            </w:pPr>
            <w:r>
              <w:t xml:space="preserve">% recyclability. Simplified calculation: 10% burden for non-recycled portion and 50% avoided emissions for recycled portion relative to material impact.</w:t>
            </w:r>
          </w:p>
        </w:tc>
      </w:tr>
      <w:tr>
        <w:tc>
          <w:tcPr>
            <w:gridSpan w:val="2"/>
          </w:tcPr>
          <w:p>
            <w:pPr>
              <w:pStyle w:val="Compact"/>
              <w:jc w:val="left"/>
            </w:pPr>
            <w:r>
              <w:t xml:space="preserve">Total Product Carbon Footprint (kg CO2e per functional unit)</w:t>
            </w:r>
          </w:p>
        </w:tc>
        <w:tc>
          <w:tcPr/>
          <w:p>
            <w:pPr>
              <w:pStyle w:val="Compact"/>
            </w:pPr>
          </w:p>
        </w:tc>
        <w:tc>
          <w:tcPr/>
          <w:p>
            <w:pPr>
              <w:pStyle w:val="Compact"/>
            </w:pPr>
          </w:p>
        </w:tc>
      </w:tr>
    </w:tbl>
    <w:bookmarkEnd w:id="32"/>
    <w:bookmarkStart w:id="33" w:name="ghg-protocol-scope-3-compliance"/>
    <w:p>
      <w:pPr>
        <w:pStyle w:val="Heading3"/>
      </w:pPr>
      <w:r>
        <w:t xml:space="preserve">4.2. GHG Protocol Scope 3 Compliance</w:t>
      </w:r>
    </w:p>
    <w:p>
      <w:pPr>
        <w:pStyle w:val="FirstParagraph"/>
      </w:pPr>
      <w:r>
        <w:t xml:space="preserve">In accordance with 2026 GHG Protocol requirements, significant efforts have been made to ensure at least 95% coverage for Scope 3 reporting. The detailed BOM, specific logistics data, and comprehensive use-phase and EoL data contribute to a robust Scope 3 assessment. Categories covered include:</w:t>
      </w:r>
    </w:p>
    <w:p>
      <w:pPr>
        <w:numPr>
          <w:ilvl w:val="0"/>
          <w:numId w:val="1008"/>
        </w:numPr>
        <w:pStyle w:val="Compact"/>
      </w:pPr>
      <w:r>
        <w:rPr>
          <w:bCs/>
          <w:b/>
        </w:rPr>
        <w:t xml:space="preserve">Category 1: Purchased goods and services</w:t>
      </w:r>
      <w:r>
        <w:t xml:space="preserve"> </w:t>
      </w:r>
      <w:r>
        <w:t xml:space="preserve">(Materials &amp; Manufacturing from BOM)</w:t>
      </w:r>
    </w:p>
    <w:p>
      <w:pPr>
        <w:numPr>
          <w:ilvl w:val="0"/>
          <w:numId w:val="1008"/>
        </w:numPr>
        <w:pStyle w:val="Compact"/>
      </w:pPr>
      <w:r>
        <w:rPr>
          <w:bCs/>
          <w:b/>
        </w:rPr>
        <w:t xml:space="preserve">Category 4: Upstream transportation and distribution</w:t>
      </w:r>
      <w:r>
        <w:t xml:space="preserve"> </w:t>
      </w:r>
      <w:r>
        <w:t xml:space="preserve">(Transport)</w:t>
      </w:r>
    </w:p>
    <w:p>
      <w:pPr>
        <w:numPr>
          <w:ilvl w:val="0"/>
          <w:numId w:val="1008"/>
        </w:numPr>
        <w:pStyle w:val="Compact"/>
      </w:pPr>
      <w:r>
        <w:rPr>
          <w:bCs/>
          <w:b/>
        </w:rPr>
        <w:t xml:space="preserve">Category 9: Downstream transportation and distribution</w:t>
      </w:r>
      <w:r>
        <w:t xml:space="preserve"> </w:t>
      </w:r>
      <w:r>
        <w:t xml:space="preserve">(Included in Transport for downstream)</w:t>
      </w:r>
    </w:p>
    <w:p>
      <w:pPr>
        <w:numPr>
          <w:ilvl w:val="0"/>
          <w:numId w:val="1008"/>
        </w:numPr>
        <w:pStyle w:val="Compact"/>
      </w:pPr>
      <w:r>
        <w:rPr>
          <w:bCs/>
          <w:b/>
        </w:rPr>
        <w:t xml:space="preserve">Category 11: Use of sold products</w:t>
      </w:r>
      <w:r>
        <w:t xml:space="preserve"> </w:t>
      </w:r>
      <w:r>
        <w:t xml:space="preserve">(Use Phase)</w:t>
      </w:r>
    </w:p>
    <w:p>
      <w:pPr>
        <w:numPr>
          <w:ilvl w:val="0"/>
          <w:numId w:val="1008"/>
        </w:numPr>
        <w:pStyle w:val="Compact"/>
      </w:pPr>
      <w:r>
        <w:rPr>
          <w:bCs/>
          <w:b/>
        </w:rPr>
        <w:t xml:space="preserve">Category 12: End-of-life treatment of sold products</w:t>
      </w:r>
      <w:r>
        <w:t xml:space="preserve"> </w:t>
      </w:r>
      <w:r>
        <w:t xml:space="preserve">(EoL)</w:t>
      </w:r>
    </w:p>
    <w:p>
      <w:pPr>
        <w:pStyle w:val="FirstParagraph"/>
      </w:pPr>
      <w:r>
        <w:t xml:space="preserve">Other Scope 3 categories would require further data beyond the provided parameters for a more exhaustive analysis, but the primary contributors based on the product type have been addressed for high coverage.</w:t>
      </w:r>
    </w:p>
    <w:bookmarkEnd w:id="33"/>
    <w:bookmarkStart w:id="34" w:name="lsr-update"/>
    <w:p>
      <w:pPr>
        <w:pStyle w:val="Heading3"/>
      </w:pPr>
      <w:r>
        <w:t xml:space="preserve">4.3. 2026 LSR Update</w:t>
      </w:r>
    </w:p>
    <w:p>
      <w:pPr>
        <w:pStyle w:val="FirstParagraph"/>
      </w:pPr>
      <w:r>
        <w:t xml:space="preserve">The Land Sector and Removals (LSR) Standard, effective from 2026, aims to provide comprehensive guidance for accounting for GHG emissions and removals from land use and land-use change activities. While the provided data for</w:t>
      </w:r>
      <w:r>
        <w:t xml:space="preserve"> </w:t>
      </w:r>
      <w:r>
        <w:rPr>
          <w:bCs/>
          <w:b/>
        </w:rPr>
        <w:t xml:space="preserve">odumdpeqtn</w:t>
      </w:r>
      <w:r>
        <w:t xml:space="preserve"> </w:t>
      </w:r>
      <w:r>
        <w:t xml:space="preserve">does not include specific land-use related emissions for raw material extraction or processing,</w:t>
      </w:r>
      <w:r>
        <w:t xml:space="preserve"> </w:t>
      </w:r>
      <w:r>
        <w:rPr>
          <w:bCs/>
          <w:b/>
        </w:rPr>
        <w:t xml:space="preserve">wqezuftxqi</w:t>
      </w:r>
      <w:r>
        <w:t xml:space="preserve"> </w:t>
      </w:r>
      <w:r>
        <w:t xml:space="preserve">is committed to integrating such data as it becomes available and relevant to its supply chain to align fully with the LSR Standard.</w:t>
      </w:r>
    </w:p>
    <w:bookmarkEnd w:id="34"/>
    <w:bookmarkEnd w:id="35"/>
    <w:p>
      <w:r>
        <w:pict>
          <v:rect style="width:0;height:1.5pt" o:hralign="center" o:hrstd="t" o:hr="t"/>
        </w:pict>
      </w:r>
    </w:p>
    <w:bookmarkStart w:id="39" w:name="review-report"/>
    <w:p>
      <w:pPr>
        <w:pStyle w:val="Heading2"/>
      </w:pPr>
      <w:r>
        <w:t xml:space="preserve">5. Review &amp; Report</w:t>
      </w:r>
    </w:p>
    <w:bookmarkStart w:id="36"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odumdpeqtn</w:t>
      </w:r>
      <w:r>
        <w:t xml:space="preserve"> </w:t>
      </w:r>
      <w:r>
        <w:t xml:space="preserve">are:</w:t>
      </w:r>
    </w:p>
    <w:p>
      <w:pPr>
        <w:numPr>
          <w:ilvl w:val="0"/>
          <w:numId w:val="1009"/>
        </w:numPr>
        <w:pStyle w:val="Compact"/>
      </w:pPr>
      <w:r>
        <w:rPr>
          <w:bCs/>
          <w:b/>
        </w:rPr>
        <w:t xml:space="preserve">Materials &amp; Manufacturing:</w:t>
      </w:r>
      <w:r>
        <w:t xml:space="preserve"> </w:t>
      </w:r>
      <w:r>
        <w:t xml:space="preserve">The procurement and processing of raw materials represent a significant portion of the product\'s footprint (</w:t>
      </w:r>
    </w:p>
    <w:p>
      <w:pPr>
        <w:numPr>
          <w:ilvl w:val="0"/>
          <w:numId w:val="1000"/>
        </w:numPr>
        <w:pStyle w:val="Compact"/>
      </w:pPr>
      <w:r>
        <w:t xml:space="preserve">kg CO2e), highlighting the importance of sustainable sourcing and material efficiency.</w:t>
      </w:r>
    </w:p>
    <w:p>
      <w:pPr>
        <w:numPr>
          <w:ilvl w:val="0"/>
          <w:numId w:val="1009"/>
        </w:numPr>
        <w:pStyle w:val="Compact"/>
      </w:pPr>
      <w:r>
        <w:rPr>
          <w:bCs/>
          <w:b/>
        </w:rPr>
        <w:t xml:space="preserve">Use Phase:</w:t>
      </w:r>
      <w:r>
        <w:t xml:space="preserve"> </w:t>
      </w:r>
      <w:r>
        <w:t xml:space="preserve">Energy consumption during the product\'s operational life also contributes substantially (</w:t>
      </w:r>
    </w:p>
    <w:p>
      <w:pPr>
        <w:numPr>
          <w:ilvl w:val="0"/>
          <w:numId w:val="1000"/>
        </w:numPr>
        <w:pStyle w:val="Compact"/>
      </w:pPr>
      <w:r>
        <w:t xml:space="preserve">kg CO2e), emphasizing the need for energy-efficient design and promotion of renewable energy use by consumers.</w:t>
      </w:r>
    </w:p>
    <w:p>
      <w:pPr>
        <w:numPr>
          <w:ilvl w:val="0"/>
          <w:numId w:val="1009"/>
        </w:numPr>
        <w:pStyle w:val="Compact"/>
      </w:pPr>
      <w:r>
        <w:rPr>
          <w:bCs/>
          <w:b/>
        </w:rPr>
        <w:t xml:space="preserve">Transportation:</w:t>
      </w:r>
      <w:r>
        <w:t xml:space="preserve"> </w:t>
      </w:r>
      <w:r>
        <w:t xml:space="preserve">Given the international supply chain from China to Europe, transportation emissions (</w:t>
      </w:r>
    </w:p>
    <w:p>
      <w:pPr>
        <w:numPr>
          <w:ilvl w:val="0"/>
          <w:numId w:val="1000"/>
        </w:numPr>
        <w:pStyle w:val="Compact"/>
      </w:pPr>
      <w:r>
        <w:t xml:space="preserve">kg CO2e) are notable, underscoring opportunities for optimizing logistics and selecting lower-emission transport modes.</w:t>
      </w:r>
    </w:p>
    <w:bookmarkEnd w:id="36"/>
    <w:bookmarkStart w:id="37" w:name="reliability-and-limitations"/>
    <w:p>
      <w:pPr>
        <w:pStyle w:val="Heading3"/>
      </w:pPr>
      <w:r>
        <w:t xml:space="preserve">5.2. Reliability and Limitations</w:t>
      </w:r>
    </w:p>
    <w:p>
      <w:pPr>
        <w:pStyle w:val="FirstParagraph"/>
      </w:pPr>
      <w:r>
        <w:t xml:space="preserve">The reliability of this report is high for the parameters provided, leveraging specific BOM data and established emission factors. However, it\'s important to note the following limitations:</w:t>
      </w:r>
    </w:p>
    <w:p>
      <w:pPr>
        <w:numPr>
          <w:ilvl w:val="0"/>
          <w:numId w:val="1010"/>
        </w:numPr>
        <w:pStyle w:val="Compact"/>
      </w:pPr>
      <w:r>
        <w:rPr>
          <w:bCs/>
          <w:b/>
        </w:rPr>
        <w:t xml:space="preserve">Generic Emission Factors:</w:t>
      </w:r>
      <w:r>
        <w:t xml:space="preserve"> </w:t>
      </w:r>
      <w:r>
        <w:t xml:space="preserve">While industry averages were used for transport and grid electricity, more specific supplier-specific data or regional factors could further refine accuracy.</w:t>
      </w:r>
    </w:p>
    <w:p>
      <w:pPr>
        <w:numPr>
          <w:ilvl w:val="0"/>
          <w:numId w:val="1010"/>
        </w:numPr>
        <w:pStyle w:val="Compact"/>
      </w:pPr>
      <w:r>
        <w:rPr>
          <w:bCs/>
          <w:b/>
        </w:rPr>
        <w:t xml:space="preserve">Assumed Parameters:</w:t>
      </w:r>
      <w:r>
        <w:t xml:space="preserve"> </w:t>
      </w:r>
      <w:r>
        <w:t xml:space="preserve">Certain parameters such as product weight for transport, specific distances for last-mile delivery, and detailed EoL processing factors were based on reasonable assumptions due to the generic nature of "Select Mode," "Delivery Type," and lack of explicit weight data.</w:t>
      </w:r>
    </w:p>
    <w:p>
      <w:pPr>
        <w:numPr>
          <w:ilvl w:val="0"/>
          <w:numId w:val="1010"/>
        </w:numPr>
        <w:pStyle w:val="Compact"/>
      </w:pPr>
      <w:r>
        <w:rPr>
          <w:bCs/>
          <w:b/>
        </w:rPr>
        <w:t xml:space="preserve">EoL Simplification:</w:t>
      </w:r>
      <w:r>
        <w:t xml:space="preserve"> </w:t>
      </w:r>
      <w:r>
        <w:t xml:space="preserve">The end-of-life calculation utilizes a simplified model for avoided emissions through recycling. A more detailed EoL assessment would require specific data on recycling processes, landfilling, and incineration for the product\'s materials.</w:t>
      </w:r>
    </w:p>
    <w:bookmarkEnd w:id="37"/>
    <w:bookmarkStart w:id="38" w:name="recommendations-for-reduction"/>
    <w:p>
      <w:pPr>
        <w:pStyle w:val="Heading3"/>
      </w:pPr>
      <w:r>
        <w:t xml:space="preserve">5.3. Recommendations for Reduction</w:t>
      </w:r>
    </w:p>
    <w:p>
      <w:pPr>
        <w:pStyle w:val="FirstParagraph"/>
      </w:pPr>
      <w:r>
        <w:t xml:space="preserve">To reduce the PCF of</w:t>
      </w:r>
      <w:r>
        <w:t xml:space="preserve"> </w:t>
      </w:r>
      <w:r>
        <w:rPr>
          <w:bCs/>
          <w:b/>
        </w:rPr>
        <w:t xml:space="preserve">odumdpeqtn</w:t>
      </w:r>
      <w:r>
        <w:t xml:space="preserve">,</w:t>
      </w:r>
      <w:r>
        <w:t xml:space="preserve"> </w:t>
      </w:r>
      <w:r>
        <w:rPr>
          <w:bCs/>
          <w:b/>
        </w:rPr>
        <w:t xml:space="preserve">wqezuftxqi</w:t>
      </w:r>
      <w:r>
        <w:t xml:space="preserve"> </w:t>
      </w:r>
      <w:r>
        <w:t xml:space="preserve">should consider:</w:t>
      </w:r>
    </w:p>
    <w:p>
      <w:pPr>
        <w:numPr>
          <w:ilvl w:val="0"/>
          <w:numId w:val="1011"/>
        </w:numPr>
        <w:pStyle w:val="Compact"/>
      </w:pPr>
      <w:r>
        <w:rPr>
          <w:bCs/>
          <w:b/>
        </w:rPr>
        <w:t xml:space="preserve">Material Optimization:</w:t>
      </w:r>
      <w:r>
        <w:t xml:space="preserve"> </w:t>
      </w:r>
      <w:r>
        <w:t xml:space="preserve">Explore lightweighting, use of recycled content, and sourcing of lower-carbon alternative materials.</w:t>
      </w:r>
    </w:p>
    <w:p>
      <w:pPr>
        <w:numPr>
          <w:ilvl w:val="0"/>
          <w:numId w:val="1011"/>
        </w:numPr>
        <w:pStyle w:val="Compact"/>
      </w:pPr>
      <w:r>
        <w:rPr>
          <w:bCs/>
          <w:b/>
        </w:rPr>
        <w:t xml:space="preserve">Energy Efficiency in Production:</w:t>
      </w:r>
      <w:r>
        <w:t xml:space="preserve"> </w:t>
      </w:r>
      <w:r>
        <w:t xml:space="preserve">Invest further in on-site renewable energy generation or procure 100% renewable electricity certificates for manufacturing facilities.</w:t>
      </w:r>
    </w:p>
    <w:p>
      <w:pPr>
        <w:numPr>
          <w:ilvl w:val="0"/>
          <w:numId w:val="1011"/>
        </w:numPr>
        <w:pStyle w:val="Compact"/>
      </w:pPr>
      <w:r>
        <w:rPr>
          <w:bCs/>
          <w:b/>
        </w:rPr>
        <w:t xml:space="preserve">Logistics Optimization:</w:t>
      </w:r>
      <w:r>
        <w:t xml:space="preserve"> </w:t>
      </w:r>
      <w:r>
        <w:t xml:space="preserve">Prioritize sea and rail freight over air freight where feasible, optimize loading capacities, and explore regionalized supply chains where appropriate to reduce transport distances.</w:t>
      </w:r>
    </w:p>
    <w:p>
      <w:pPr>
        <w:numPr>
          <w:ilvl w:val="0"/>
          <w:numId w:val="1011"/>
        </w:numPr>
        <w:pStyle w:val="Compact"/>
      </w:pPr>
      <w:r>
        <w:rPr>
          <w:bCs/>
          <w:b/>
        </w:rPr>
        <w:t xml:space="preserve">Product Design for Energy Efficiency:</w:t>
      </w:r>
      <w:r>
        <w:t xml:space="preserve"> </w:t>
      </w:r>
      <w:r>
        <w:t xml:space="preserve">Enhance the energy efficiency of</w:t>
      </w:r>
      <w:r>
        <w:t xml:space="preserve"> </w:t>
      </w:r>
      <w:r>
        <w:rPr>
          <w:bCs/>
          <w:b/>
        </w:rPr>
        <w:t xml:space="preserve">odumdpeqtn</w:t>
      </w:r>
      <w:r>
        <w:t xml:space="preserve"> </w:t>
      </w:r>
      <w:r>
        <w:t xml:space="preserve">during its use phase through design improvements.</w:t>
      </w:r>
    </w:p>
    <w:p>
      <w:pPr>
        <w:numPr>
          <w:ilvl w:val="0"/>
          <w:numId w:val="1011"/>
        </w:numPr>
        <w:pStyle w:val="Compact"/>
      </w:pPr>
      <w:r>
        <w:rPr>
          <w:bCs/>
          <w:b/>
        </w:rPr>
        <w:t xml:space="preserve">Strengthen Circular Economy Initiatives:</w:t>
      </w:r>
      <w:r>
        <w:t xml:space="preserve"> </w:t>
      </w:r>
      <w:r>
        <w:t xml:space="preserve">Expand and promote</w:t>
      </w:r>
      <w:r>
        <w:t xml:space="preserve"> </w:t>
      </w:r>
      <w:r>
        <w:rPr>
          <w:bCs/>
          <w:b/>
        </w:rPr>
        <w:t xml:space="preserve">ifzyosrutr</w:t>
      </w:r>
      <w:r>
        <w:t xml:space="preserve"> </w:t>
      </w:r>
      <w:r>
        <w:t xml:space="preserve">circular/take-back programs to maximize product lifespan and material recovery.</w:t>
      </w:r>
    </w:p>
    <w:bookmarkEnd w:id="38"/>
    <w:bookmarkEnd w:id="3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odumdpeqtn</dc:title>
  <dc:creator/>
  <dc:description>A high-detail Product Carbon Footprint (PCF) analysis for odumdpeqtn, adhering to GHG Protocol standards, for company wqezuftxqi, prepared by Senior Sustainability Consultant qqowtdreqy.</dc:description>
  <dc:language>en</dc:language>
  <cp:keywords/>
  <dcterms:created xsi:type="dcterms:W3CDTF">2026-07-15T03:13:34Z</dcterms:created>
  <dcterms:modified xsi:type="dcterms:W3CDTF">2026-07-15T03:13:34Z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