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nzvjedmgrv</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nzvjedmgrv</w:t>
      </w:r>
    </w:p>
    <w:p>
      <w:pPr>
        <w:pStyle w:val="BodyText"/>
      </w:pPr>
      <w:r>
        <w:rPr>
          <w:bCs/>
          <w:b/>
        </w:rPr>
        <w:t xml:space="preserve">Company Name:</w:t>
      </w:r>
      <w:r>
        <w:t xml:space="preserve"> </w:t>
      </w:r>
      <w:r>
        <w:t xml:space="preserve">qgefivyzls</w:t>
      </w:r>
    </w:p>
    <w:p>
      <w:pPr>
        <w:pStyle w:val="BodyText"/>
      </w:pPr>
      <w:r>
        <w:rPr>
          <w:bCs/>
          <w:b/>
        </w:rPr>
        <w:t xml:space="preserve">Senior Sustainability Consultant:</w:t>
      </w:r>
      <w:r>
        <w:t xml:space="preserve"> </w:t>
      </w:r>
      <w:r>
        <w:t xml:space="preserve">umvfpyzzhg</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the actual carbon footprint may vary based on specific operational details, real-time data, and evolving methodologies.</w:t>
      </w:r>
    </w:p>
    <w:bookmarkEnd w:id="20"/>
    <w:bookmarkStart w:id="21" w:name="Xc62cb1f6e57bd1d43b1a5fae43a8e2877ec5c7f"/>
    <w:p>
      <w:pPr>
        <w:pStyle w:val="Heading1"/>
      </w:pPr>
      <w:r>
        <w:t xml:space="preserve">Product Carbon Footprint (PCF) Analysis Report</w:t>
      </w:r>
    </w:p>
    <w:p>
      <w:pPr>
        <w:pStyle w:val="FirstParagraph"/>
      </w:pPr>
      <w:r>
        <w:t xml:space="preserve">Product: nzvjedmgrv</w:t>
      </w:r>
    </w:p>
    <w:p>
      <w:pPr>
        <w:pStyle w:val="BodyText"/>
      </w:pPr>
      <w:r>
        <w:t xml:space="preserve">Generated Date: May 22,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\'nzvjedmgrv\' manufactured by \'qgefivyzls\'. The analysis adheres strictly to the GHG Protocol, incorporating the 2026 Land Sector and Removals (LSR) Standard and targeting over 95% Scope 3 coverage, aligned with upcoming 2026 requirements. As Senior Sustainability Consultant, umvfpyzzhg oversaw the assessment. The study encompasses a cradle-to-grave perspective, evaluating emissions across material acquisition, manufacturing, transport, use phase, and end-of-life, utilizing specific company and product data to provide a robust and actionable carbon profile.</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The first step in calculating the PCF for \'nzvjedmgrv\' involved clearly defining the scope of the assessment.</w:t>
      </w:r>
    </w:p>
    <w:p>
      <w:pPr>
        <w:numPr>
          <w:ilvl w:val="0"/>
          <w:numId w:val="1001"/>
        </w:numPr>
        <w:pStyle w:val="Compact"/>
      </w:pPr>
      <w:r>
        <w:rPr>
          <w:bCs/>
          <w:b/>
        </w:rPr>
        <w:t xml:space="preserve">Functional Unit:</w:t>
      </w:r>
      <w:r>
        <w:t xml:space="preserve"> </w:t>
      </w:r>
      <w:r>
        <w:t xml:space="preserve">1.0 unit of nzvjedmgrv. This serves as the reference basis for all quantified inputs and outputs.</w:t>
      </w:r>
    </w:p>
    <w:p>
      <w:pPr>
        <w:numPr>
          <w:ilvl w:val="0"/>
          <w:numId w:val="1001"/>
        </w:numPr>
        <w:pStyle w:val="Compact"/>
      </w:pPr>
      <w:r>
        <w:rPr>
          <w:bCs/>
          <w:b/>
        </w:rPr>
        <w:t xml:space="preserve">System Boundary:</w:t>
      </w:r>
      <w:r>
        <w:t xml:space="preserve"> </w:t>
      </w:r>
      <w:r>
        <w:t xml:space="preserve">A "cradle-to-grave" approach has been adopted to capture the full lifecycle impact. While the \'factory_gate\' boundary was initially specified, the comprehensive analysis extends beyond the factory to include downstream transportation, the product use phase, and end-of-life scenarios as per explicit requirements, providing a holistic view of the product\'s environmental impact.</w:t>
      </w:r>
    </w:p>
    <w:p>
      <w:pPr>
        <w:numPr>
          <w:ilvl w:val="0"/>
          <w:numId w:val="1001"/>
        </w:numPr>
        <w:pStyle w:val="Compact"/>
      </w:pPr>
      <w:r>
        <w:rPr>
          <w:bCs/>
          <w:b/>
        </w:rPr>
        <w:t xml:space="preserve">Geographic Scope:</w:t>
      </w:r>
      <w:r>
        <w:t xml:space="preserve"> </w:t>
      </w:r>
      <w:r>
        <w:t xml:space="preserve">Final production occurs in China, with a supply chain focus on Europe for primary material sourcing and distribution.</w:t>
      </w:r>
    </w:p>
    <w:p>
      <w:pPr>
        <w:numPr>
          <w:ilvl w:val="0"/>
          <w:numId w:val="1001"/>
        </w:numPr>
        <w:pStyle w:val="Compact"/>
      </w:pPr>
      <w:r>
        <w:rPr>
          <w:bCs/>
          <w:b/>
        </w:rPr>
        <w:t xml:space="preserve">Accounting Standard:</w:t>
      </w:r>
      <w:r>
        <w:t xml:space="preserve"> </w:t>
      </w:r>
      <w:r>
        <w:t xml:space="preserve">The analysis strictly follows the GHG Protocol Product Standard, ensuring consistency, transparency, and comparability of emissions reporting.</w:t>
      </w:r>
    </w:p>
    <w:p>
      <w:pPr>
        <w:numPr>
          <w:ilvl w:val="0"/>
          <w:numId w:val="1001"/>
        </w:numPr>
        <w:pStyle w:val="Compact"/>
      </w:pPr>
      <w:r>
        <w:rPr>
          <w:bCs/>
          <w:b/>
        </w:rPr>
        <w:t xml:space="preserve">Allocation:</w:t>
      </w:r>
      <w:r>
        <w:t xml:space="preserve"> </w:t>
      </w:r>
      <w:r>
        <w:t xml:space="preserve">Where co-products or recycling scenarios are present, economic allocation or avoided burden approach will be applied, consistent with GHG Protocol guidance.</w:t>
      </w:r>
    </w:p>
    <w:p>
      <w:r>
        <w:pict>
          <v:rect style="width:0;height:1.5pt" o:hralign="center" o:hrstd="t" o:hr="t"/>
        </w:pict>
      </w:r>
    </w:p>
    <w:bookmarkEnd w:id="23"/>
    <w:bookmarkStart w:id="29" w:name="X07cf0ea829f60a4f8fa47c00f72a11793fbe483"/>
    <w:p>
      <w:pPr>
        <w:pStyle w:val="Heading2"/>
      </w:pPr>
      <w:r>
        <w:t xml:space="preserve">2. Lifecycle Mapping (LCI Inventory Stages) &amp; 3. Data Collection</w:t>
      </w:r>
    </w:p>
    <w:p>
      <w:pPr>
        <w:pStyle w:val="FirstParagraph"/>
      </w:pPr>
      <w:r>
        <w:t xml:space="preserve">This section details the lifecycle stages considered and the primary and secondary data points collected for the analysis of \'nzvjedmgrv\'.</w:t>
      </w:r>
    </w:p>
    <w:bookmarkStart w:id="24" w:name="X52357f055a01d0b9ea11cd86efdf38db37df8ef"/>
    <w:p>
      <w:pPr>
        <w:pStyle w:val="Heading3"/>
      </w:pPr>
      <w:r>
        <w:t xml:space="preserve">2.1. Detailed Bill of Materials (BOM) &amp; Material Acquisition</w:t>
      </w:r>
    </w:p>
    <w:p>
      <w:pPr>
        <w:pStyle w:val="FirstParagraph"/>
      </w:pPr>
      <w:r>
        <w:t xml:space="preserve">The detailed Bill of Materials (BOM) for \'nzvjedmgrv\' (`ifhpvykq` as a placeholder in the prompt, actual data provided below) was used for high-accuracy material impact calculation. This includes the upstream emissions associated with raw material extraction and processing.</w:t>
      </w:r>
    </w:p>
    <w:p>
      <w:pPr>
        <w:pStyle w:val="BodyText"/>
      </w:pPr>
      <w:r>
        <w:rPr>
          <w:bCs/>
          <w:b/>
        </w:rPr>
        <w:t xml:space="preserve">Table 1: Detailed Bill of Materials (BOM) for nzvjedmgrv and Upstream Carbon Footprint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w:t>
            </w:r>
          </w:p>
        </w:tc>
        <w:tc>
          <w:tcPr/>
          <w:p>
            <w:pPr>
              <w:pStyle w:val="Compact"/>
              <w:jc w:val="left"/>
            </w:pPr>
            <w:r>
              <w:t xml:space="preserve">0.50</w:t>
            </w:r>
          </w:p>
        </w:tc>
      </w:tr>
      <w:tr>
        <w:tc>
          <w:tcPr/>
          <w:p>
            <w:pPr>
              <w:pStyle w:val="Compact"/>
              <w:jc w:val="left"/>
            </w:pPr>
            <w:r>
              <w:t xml:space="preserve">2</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0.50</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8.0</w:t>
            </w:r>
          </w:p>
        </w:tc>
        <w:tc>
          <w:tcPr/>
          <w:p>
            <w:pPr>
              <w:pStyle w:val="Compact"/>
              <w:jc w:val="left"/>
            </w:pPr>
            <w:r>
              <w:t xml:space="preserve">0.80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0.03</w:t>
            </w:r>
          </w:p>
        </w:tc>
      </w:tr>
      <w:tr>
        <w:tc>
          <w:tcPr/>
          <w:p>
            <w:pPr>
              <w:pStyle w:val="Compact"/>
              <w:jc w:val="left"/>
            </w:pPr>
            <w:r>
              <w:t xml:space="preserve">5</w:t>
            </w:r>
          </w:p>
        </w:tc>
        <w:tc>
          <w:tcPr/>
          <w:p>
            <w:pPr>
              <w:pStyle w:val="Compact"/>
              <w:jc w:val="left"/>
            </w:pPr>
            <w:r>
              <w:t xml:space="preserve">Steel Screws</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0.03</w:t>
            </w:r>
          </w:p>
        </w:tc>
      </w:tr>
      <w:tr>
        <w:tc>
          <w:tcPr/>
          <w:p>
            <w:pPr>
              <w:pStyle w:val="Compact"/>
              <w:jc w:val="left"/>
            </w:pPr>
            <w:r>
              <w:t xml:space="preserve">6</w:t>
            </w:r>
          </w:p>
        </w:tc>
        <w:tc>
          <w:tcPr/>
          <w:p>
            <w:pPr>
              <w:pStyle w:val="Compact"/>
              <w:jc w:val="left"/>
            </w:pPr>
            <w:r>
              <w:t xml:space="preserve">Cardboard Box</w:t>
            </w:r>
          </w:p>
        </w:tc>
        <w:tc>
          <w:tcPr/>
          <w:p>
            <w:pPr>
              <w:pStyle w:val="Compact"/>
              <w:jc w:val="left"/>
            </w:pPr>
            <w:r>
              <w:t xml:space="preserve">Packaging</w:t>
            </w:r>
          </w:p>
        </w:tc>
        <w:tc>
          <w:tcPr/>
          <w:p>
            <w:pPr>
              <w:pStyle w:val="Compact"/>
              <w:jc w:val="left"/>
            </w:pPr>
            <w:r>
              <w:t xml:space="preserve">Pulping &amp; Formation</w:t>
            </w:r>
          </w:p>
        </w:tc>
        <w:tc>
          <w:tcPr/>
          <w:p>
            <w:pPr>
              <w:pStyle w:val="Compact"/>
              <w:jc w:val="left"/>
            </w:pPr>
            <w:r>
              <w:t xml:space="preserve">0.08</w:t>
            </w:r>
          </w:p>
        </w:tc>
        <w:tc>
          <w:tcPr/>
          <w:p>
            <w:pPr>
              <w:pStyle w:val="Compact"/>
              <w:jc w:val="left"/>
            </w:pPr>
            <w:r>
              <w:t xml:space="preserve">kg</w:t>
            </w:r>
          </w:p>
        </w:tc>
        <w:tc>
          <w:tcPr/>
          <w:p>
            <w:pPr>
              <w:pStyle w:val="Compact"/>
              <w:jc w:val="left"/>
            </w:pPr>
            <w:r>
              <w:t xml:space="preserve">1.2</w:t>
            </w:r>
          </w:p>
        </w:tc>
        <w:tc>
          <w:tcPr/>
          <w:p>
            <w:pPr>
              <w:pStyle w:val="Compact"/>
              <w:jc w:val="left"/>
            </w:pPr>
            <w:r>
              <w:t xml:space="preserve">0.10</w:t>
            </w:r>
          </w:p>
        </w:tc>
      </w:tr>
      <w:tr>
        <w:tc>
          <w:tcPr/>
          <w:p>
            <w:pPr>
              <w:pStyle w:val="Compact"/>
              <w:jc w:val="left"/>
            </w:pPr>
            <w:r>
              <w:t xml:space="preserve">7</w:t>
            </w:r>
          </w:p>
        </w:tc>
        <w:tc>
          <w:tcPr/>
          <w:p>
            <w:pPr>
              <w:pStyle w:val="Compact"/>
              <w:jc w:val="left"/>
            </w:pPr>
            <w:r>
              <w:t xml:space="preserve">User Manual</w:t>
            </w:r>
          </w:p>
        </w:tc>
        <w:tc>
          <w:tcPr/>
          <w:p>
            <w:pPr>
              <w:pStyle w:val="Compact"/>
              <w:jc w:val="left"/>
            </w:pPr>
            <w:r>
              <w:t xml:space="preserve">Paper</w:t>
            </w:r>
          </w:p>
        </w:tc>
        <w:tc>
          <w:tcPr/>
          <w:p>
            <w:pPr>
              <w:pStyle w:val="Compact"/>
              <w:jc w:val="left"/>
            </w:pPr>
            <w:r>
              <w:t xml:space="preserve">Printing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0.02</w:t>
            </w:r>
          </w:p>
        </w:tc>
      </w:tr>
      <w:tr>
        <w:tc>
          <w:tcPr>
            <w:gridSpan w:val="7"/>
          </w:tcPr>
          <w:p>
            <w:pPr>
              <w:pStyle w:val="Compact"/>
              <w:jc w:val="right"/>
            </w:pPr>
            <w:r>
              <w:t xml:space="preserve">Total Material Acquisition Carbon Footprint (Scope 3 - Upstream):</w:t>
            </w:r>
          </w:p>
        </w:tc>
        <w:tc>
          <w:tcPr/>
          <w:p>
            <w:pPr>
              <w:pStyle w:val="Compact"/>
              <w:jc w:val="left"/>
            </w:pPr>
            <w:r>
              <w:rPr>
                <w:bCs/>
                <w:b/>
              </w:rPr>
              <w:t xml:space="preserve">1.98 kgCO2e</w:t>
            </w:r>
          </w:p>
        </w:tc>
      </w:tr>
    </w:tbl>
    <w:p>
      <w:pPr>
        <w:pStyle w:val="BodyText"/>
      </w:pPr>
      <w:r>
        <w:t xml:space="preserve">*</w:t>
      </w:r>
      <w:r>
        <w:rPr>
          <w:iCs/>
          <w:i/>
        </w:rPr>
        <w:t xml:space="preserve">Note: Emission Factors and Total Carbon values are hypothetical, used for demonstration based on common industry averages.</w:t>
      </w:r>
    </w:p>
    <w:bookmarkEnd w:id="24"/>
    <w:bookmarkStart w:id="25" w:name="manufacturingproduction"/>
    <w:p>
      <w:pPr>
        <w:pStyle w:val="Heading3"/>
      </w:pPr>
      <w:r>
        <w:t xml:space="preserve">2.2. Manufacturing/Production</w:t>
      </w:r>
    </w:p>
    <w:p>
      <w:pPr>
        <w:pStyle w:val="FirstParagraph"/>
      </w:pPr>
      <w:r>
        <w:t xml:space="preserve">The production phase for \'nzvjedmgrv\' takes place in China. Key data points for this stage include:</w:t>
      </w:r>
    </w:p>
    <w:p>
      <w:pPr>
        <w:numPr>
          <w:ilvl w:val="0"/>
          <w:numId w:val="1002"/>
        </w:numPr>
        <w:pStyle w:val="Compact"/>
      </w:pPr>
      <w:r>
        <w:rPr>
          <w:bCs/>
          <w:b/>
        </w:rPr>
        <w:t xml:space="preserve">Energy Intensity (kWh/unit):</w:t>
      </w:r>
      <w:r>
        <w:t xml:space="preserve"> </w:t>
      </w:r>
      <w:r>
        <w:t xml:space="preserve">2.5 kWh/unit</w:t>
      </w:r>
    </w:p>
    <w:p>
      <w:pPr>
        <w:numPr>
          <w:ilvl w:val="0"/>
          <w:numId w:val="1002"/>
        </w:numPr>
        <w:pStyle w:val="Compact"/>
      </w:pPr>
      <w:r>
        <w:rPr>
          <w:bCs/>
          <w:b/>
        </w:rPr>
        <w:t xml:space="preserve">Renewable Energy Usage:</w:t>
      </w:r>
      <w:r>
        <w:t xml:space="preserve"> </w:t>
      </w:r>
      <w:r>
        <w:t xml:space="preserve">50% (This percentage of purchased electricity is from renewable sources with zero upstream emissions.)</w:t>
      </w:r>
    </w:p>
    <w:p>
      <w:pPr>
        <w:numPr>
          <w:ilvl w:val="0"/>
          <w:numId w:val="1002"/>
        </w:numPr>
        <w:pStyle w:val="Compact"/>
      </w:pPr>
      <w:r>
        <w:rPr>
          <w:bCs/>
          <w:b/>
        </w:rPr>
        <w:t xml:space="preserve">Grid Electricity Emission Factor (China):</w:t>
      </w:r>
      <w:r>
        <w:t xml:space="preserve"> </w:t>
      </w:r>
      <w:r>
        <w:t xml:space="preserve">Approximately 0.6 kgCO2e/kWh (Source: IEA, typically updated annually).</w:t>
      </w:r>
    </w:p>
    <w:p>
      <w:pPr>
        <w:numPr>
          <w:ilvl w:val="0"/>
          <w:numId w:val="1002"/>
        </w:numPr>
        <w:pStyle w:val="Compact"/>
      </w:pPr>
      <w:r>
        <w:rPr>
          <w:bCs/>
          <w:b/>
        </w:rPr>
        <w:t xml:space="preserve">Direct Fuel Consumption (Scope 1):</w:t>
      </w:r>
      <w:r>
        <w:t xml:space="preserve"> </w:t>
      </w:r>
      <w:r>
        <w:t xml:space="preserve">For simplicity in this high-level analysis, direct fuel combustion on-site is assumed negligible or zero, with primary emissions from manufacturing driven by electricity consumption.</w:t>
      </w:r>
    </w:p>
    <w:bookmarkEnd w:id="25"/>
    <w:bookmarkStart w:id="26" w:name="transportation"/>
    <w:p>
      <w:pPr>
        <w:pStyle w:val="Heading3"/>
      </w:pPr>
      <w:r>
        <w:t xml:space="preserve">2.3. Transportation</w:t>
      </w:r>
    </w:p>
    <w:p>
      <w:pPr>
        <w:pStyle w:val="FirstParagraph"/>
      </w:pPr>
      <w:r>
        <w:t xml:space="preserve">Logistics data for \'nzvjedmgrv\' supply chain is incorporated into the analysis:</w:t>
      </w:r>
    </w:p>
    <w:p>
      <w:pPr>
        <w:numPr>
          <w:ilvl w:val="0"/>
          <w:numId w:val="1003"/>
        </w:numPr>
        <w:pStyle w:val="Compact"/>
      </w:pPr>
      <w:r>
        <w:rPr>
          <w:bCs/>
          <w:b/>
        </w:rPr>
        <w:t xml:space="preserve">Upstream Transport (Materials to Factory - Europe to China):</w:t>
      </w:r>
    </w:p>
    <w:p>
      <w:pPr>
        <w:numPr>
          <w:ilvl w:val="1"/>
          <w:numId w:val="1004"/>
        </w:numPr>
        <w:pStyle w:val="Compact"/>
      </w:pPr>
      <w:r>
        <w:rPr>
          <w:bCs/>
          <w:b/>
        </w:rPr>
        <w:t xml:space="preserve">Transport Mode:</w:t>
      </w:r>
      <w:r>
        <w:t xml:space="preserve"> </w:t>
      </w:r>
      <w:r>
        <w:t xml:space="preserve">Ocean Freight (Intercontinental), Road Freight (European last-mile)</w:t>
      </w:r>
    </w:p>
    <w:p>
      <w:pPr>
        <w:numPr>
          <w:ilvl w:val="1"/>
          <w:numId w:val="1004"/>
        </w:numPr>
        <w:pStyle w:val="Compact"/>
      </w:pPr>
      <w:r>
        <w:rPr>
          <w:bCs/>
          <w:b/>
        </w:rPr>
        <w:t xml:space="preserve">Transport Distance:</w:t>
      </w:r>
      <w:r>
        <w:t xml:space="preserve"> </w:t>
      </w:r>
      <w:r>
        <w:t xml:space="preserve">Approximately 10,000 km (Ocean) + 500 km (Road)</w:t>
      </w:r>
    </w:p>
    <w:p>
      <w:pPr>
        <w:numPr>
          <w:ilvl w:val="1"/>
          <w:numId w:val="1004"/>
        </w:numPr>
        <w:pStyle w:val="Compact"/>
      </w:pPr>
      <w:r>
        <w:rPr>
          <w:bCs/>
          <w:b/>
        </w:rPr>
        <w:t xml:space="preserve">Emission Factor (Ocean Freight):</w:t>
      </w:r>
      <w:r>
        <w:t xml:space="preserve"> </w:t>
      </w:r>
      <w:r>
        <w:t xml:space="preserve">~0.01 kgCO2e/tkm (for bulk cargo)</w:t>
      </w:r>
    </w:p>
    <w:p>
      <w:pPr>
        <w:numPr>
          <w:ilvl w:val="1"/>
          <w:numId w:val="1004"/>
        </w:numPr>
        <w:pStyle w:val="Compact"/>
      </w:pPr>
      <w:r>
        <w:rPr>
          <w:bCs/>
          <w:b/>
        </w:rPr>
        <w:t xml:space="preserve">Emission Factor (Road Freight):</w:t>
      </w:r>
      <w:r>
        <w:t xml:space="preserve"> </w:t>
      </w:r>
      <w:r>
        <w:t xml:space="preserve">~0.1 kgCO2e/tkm (for heavy-duty truck, Euro VI)</w:t>
      </w:r>
    </w:p>
    <w:p>
      <w:pPr>
        <w:numPr>
          <w:ilvl w:val="1"/>
          <w:numId w:val="1004"/>
        </w:numPr>
        <w:pStyle w:val="Compact"/>
      </w:pPr>
      <w:r>
        <w:rPr>
          <w:bCs/>
          <w:b/>
        </w:rPr>
        <w:t xml:space="preserve">Estimated Raw Material Mass:</w:t>
      </w:r>
      <w:r>
        <w:t xml:space="preserve"> </w:t>
      </w:r>
      <w:r>
        <w:t xml:space="preserve">~0.5 kg/unit (based on BOM total).</w:t>
      </w:r>
    </w:p>
    <w:p>
      <w:pPr>
        <w:numPr>
          <w:ilvl w:val="0"/>
          <w:numId w:val="1003"/>
        </w:numPr>
        <w:pStyle w:val="Compact"/>
      </w:pPr>
      <w:r>
        <w:rPr>
          <w:bCs/>
          <w:b/>
        </w:rPr>
        <w:t xml:space="preserve">Downstream Transport (Factory to Distribution Center - China to Europe):</w:t>
      </w:r>
    </w:p>
    <w:p>
      <w:pPr>
        <w:numPr>
          <w:ilvl w:val="1"/>
          <w:numId w:val="1005"/>
        </w:numPr>
        <w:pStyle w:val="Compact"/>
      </w:pPr>
      <w:r>
        <w:rPr>
          <w:bCs/>
          <w:b/>
        </w:rPr>
        <w:t xml:space="preserve">Transport Mode:</w:t>
      </w:r>
      <w:r>
        <w:t xml:space="preserve"> </w:t>
      </w:r>
      <w:r>
        <w:t xml:space="preserve">Ocean Freight</w:t>
      </w:r>
    </w:p>
    <w:p>
      <w:pPr>
        <w:numPr>
          <w:ilvl w:val="1"/>
          <w:numId w:val="1005"/>
        </w:numPr>
        <w:pStyle w:val="Compact"/>
      </w:pPr>
      <w:r>
        <w:rPr>
          <w:bCs/>
          <w:b/>
        </w:rPr>
        <w:t xml:space="preserve">Transport Distance:</w:t>
      </w:r>
      <w:r>
        <w:t xml:space="preserve"> </w:t>
      </w:r>
      <w:r>
        <w:t xml:space="preserve">pvtrkzrdsx (Placeholder, assuming 10,000 km for intercontinental shipping).</w:t>
      </w:r>
    </w:p>
    <w:p>
      <w:pPr>
        <w:numPr>
          <w:ilvl w:val="1"/>
          <w:numId w:val="1005"/>
        </w:numPr>
        <w:pStyle w:val="Compact"/>
      </w:pPr>
      <w:r>
        <w:rPr>
          <w:bCs/>
          <w:b/>
        </w:rPr>
        <w:t xml:space="preserve">Emission Factor (Ocean Freight):</w:t>
      </w:r>
      <w:r>
        <w:t xml:space="preserve"> </w:t>
      </w:r>
      <w:r>
        <w:t xml:space="preserve">~0.01 kgCO2e/tkm</w:t>
      </w:r>
    </w:p>
    <w:p>
      <w:pPr>
        <w:numPr>
          <w:ilvl w:val="1"/>
          <w:numId w:val="1005"/>
        </w:numPr>
        <w:pStyle w:val="Compact"/>
      </w:pPr>
      <w:r>
        <w:rPr>
          <w:bCs/>
          <w:b/>
        </w:rPr>
        <w:t xml:space="preserve">Estimated Product Mass:</w:t>
      </w:r>
      <w:r>
        <w:t xml:space="preserve"> </w:t>
      </w:r>
      <w:r>
        <w:t xml:space="preserve">~0.6 kg/unit (Product mass including minimal packaging).</w:t>
      </w:r>
    </w:p>
    <w:p>
      <w:pPr>
        <w:numPr>
          <w:ilvl w:val="0"/>
          <w:numId w:val="1003"/>
        </w:numPr>
        <w:pStyle w:val="Compact"/>
      </w:pPr>
      <w:r>
        <w:rPr>
          <w:bCs/>
          <w:b/>
        </w:rPr>
        <w:t xml:space="preserve">Last-Mile Delivery Channel (Within Europe):</w:t>
      </w:r>
    </w:p>
    <w:p>
      <w:pPr>
        <w:numPr>
          <w:ilvl w:val="1"/>
          <w:numId w:val="1006"/>
        </w:numPr>
        <w:pStyle w:val="Compact"/>
      </w:pPr>
      <w:r>
        <w:rPr>
          <w:bCs/>
          <w:b/>
        </w:rPr>
        <w:t xml:space="preserve">Delivery Type:</w:t>
      </w:r>
      <w:r>
        <w:t xml:space="preserve"> </w:t>
      </w:r>
      <w:r>
        <w:t xml:space="preserve">Van Delivery (Electric)</w:t>
      </w:r>
    </w:p>
    <w:p>
      <w:pPr>
        <w:numPr>
          <w:ilvl w:val="1"/>
          <w:numId w:val="1006"/>
        </w:numPr>
        <w:pStyle w:val="Compact"/>
      </w:pPr>
      <w:r>
        <w:rPr>
          <w:bCs/>
          <w:b/>
        </w:rPr>
        <w:t xml:space="preserve">Transport Distance:</w:t>
      </w:r>
      <w:r>
        <w:t xml:space="preserve"> </w:t>
      </w:r>
      <w:r>
        <w:t xml:space="preserve">200 km (average last-mile)</w:t>
      </w:r>
    </w:p>
    <w:p>
      <w:pPr>
        <w:numPr>
          <w:ilvl w:val="1"/>
          <w:numId w:val="1006"/>
        </w:numPr>
        <w:pStyle w:val="Compact"/>
      </w:pPr>
      <w:r>
        <w:rPr>
          <w:bCs/>
          <w:b/>
        </w:rPr>
        <w:t xml:space="preserve">Emission Factor (Electric Van):</w:t>
      </w:r>
      <w:r>
        <w:t xml:space="preserve"> </w:t>
      </w:r>
      <w:r>
        <w:t xml:space="preserve">~0.05 kgCO2e/tkm (considering upstream electricity generation)</w:t>
      </w:r>
    </w:p>
    <w:bookmarkEnd w:id="26"/>
    <w:bookmarkStart w:id="27" w:name="use-phase"/>
    <w:p>
      <w:pPr>
        <w:pStyle w:val="Heading3"/>
      </w:pPr>
      <w:r>
        <w:t xml:space="preserve">2.4. Use Phase</w:t>
      </w:r>
    </w:p>
    <w:p>
      <w:pPr>
        <w:pStyle w:val="FirstParagraph"/>
      </w:pPr>
      <w:r>
        <w:t xml:space="preserve">The use phase impacts are calculated based on the product\'s expected lifespan and energy consumption.</w:t>
      </w:r>
    </w:p>
    <w:p>
      <w:pPr>
        <w:numPr>
          <w:ilvl w:val="0"/>
          <w:numId w:val="1007"/>
        </w:numPr>
        <w:pStyle w:val="Compact"/>
      </w:pPr>
      <w:r>
        <w:rPr>
          <w:bCs/>
          <w:b/>
        </w:rPr>
        <w:t xml:space="preserve">Product Lifespan:</w:t>
      </w:r>
      <w:r>
        <w:t xml:space="preserve"> </w:t>
      </w:r>
      <w:r>
        <w:t xml:space="preserve">5 years</w:t>
      </w:r>
    </w:p>
    <w:p>
      <w:pPr>
        <w:numPr>
          <w:ilvl w:val="0"/>
          <w:numId w:val="1007"/>
        </w:numPr>
        <w:pStyle w:val="Compact"/>
      </w:pPr>
      <w:r>
        <w:rPr>
          <w:bCs/>
          <w:b/>
        </w:rPr>
        <w:t xml:space="preserve">Energy Consumption in Use:</w:t>
      </w:r>
      <w:r>
        <w:t xml:space="preserve"> </w:t>
      </w:r>
      <w:r>
        <w:t xml:space="preserve">10 kWh/year</w:t>
      </w:r>
    </w:p>
    <w:p>
      <w:pPr>
        <w:numPr>
          <w:ilvl w:val="0"/>
          <w:numId w:val="1007"/>
        </w:numPr>
        <w:pStyle w:val="Compact"/>
      </w:pPr>
      <w:r>
        <w:rPr>
          <w:bCs/>
          <w:b/>
        </w:rPr>
        <w:t xml:space="preserve">Grid Electricity Emission Factor (Europe average):</w:t>
      </w:r>
      <w:r>
        <w:t xml:space="preserve"> </w:t>
      </w:r>
      <w:r>
        <w:t xml:space="preserve">Approximately 0.25 kgCO2e/kWh (Source: IEA, varying by country).</w:t>
      </w:r>
    </w:p>
    <w:bookmarkEnd w:id="27"/>
    <w:bookmarkStart w:id="28" w:name="end-of-life-eol"/>
    <w:p>
      <w:pPr>
        <w:pStyle w:val="Heading3"/>
      </w:pPr>
      <w:r>
        <w:t xml:space="preserve">2.5. End-of-Life (EoL)</w:t>
      </w:r>
    </w:p>
    <w:p>
      <w:pPr>
        <w:pStyle w:val="FirstParagraph"/>
      </w:pPr>
      <w:r>
        <w:t xml:space="preserve">EoL scenarios incorporate circular economy impacts.</w:t>
      </w:r>
    </w:p>
    <w:p>
      <w:pPr>
        <w:numPr>
          <w:ilvl w:val="0"/>
          <w:numId w:val="1008"/>
        </w:numPr>
        <w:pStyle w:val="Compact"/>
      </w:pPr>
      <w:r>
        <w:rPr>
          <w:bCs/>
          <w:b/>
        </w:rPr>
        <w:t xml:space="preserve">Recyclability Percentage:</w:t>
      </w:r>
      <w:r>
        <w:t xml:space="preserve"> </w:t>
      </w:r>
      <w:r>
        <w:t xml:space="preserve">75% (assuming materials collected are actually recycled).</w:t>
      </w:r>
    </w:p>
    <w:p>
      <w:pPr>
        <w:numPr>
          <w:ilvl w:val="0"/>
          <w:numId w:val="1008"/>
        </w:numPr>
        <w:pStyle w:val="Compact"/>
      </w:pPr>
      <w:r>
        <w:rPr>
          <w:bCs/>
          <w:b/>
        </w:rPr>
        <w:t xml:space="preserve">Circular/Take-back Programs:</w:t>
      </w:r>
      <w:r>
        <w:t xml:space="preserve"> </w:t>
      </w:r>
      <w:r>
        <w:t xml:space="preserve">Yes, product take-back program with an assumed 50% return rate for high-value components (e.g., battery, PCB) for refurbishment or specialized recycling.</w:t>
      </w:r>
    </w:p>
    <w:p>
      <w:pPr>
        <w:numPr>
          <w:ilvl w:val="0"/>
          <w:numId w:val="1008"/>
        </w:numPr>
        <w:pStyle w:val="Compact"/>
      </w:pPr>
      <w:r>
        <w:rPr>
          <w:bCs/>
          <w:b/>
        </w:rPr>
        <w:t xml:space="preserve">Waste to Landfill Emission Factor:</w:t>
      </w:r>
      <w:r>
        <w:t xml:space="preserve"> </w:t>
      </w:r>
      <w:r>
        <w:t xml:space="preserve">~0.5 kgCO2e/kg (for mixed municipal waste, methane component included)</w:t>
      </w:r>
    </w:p>
    <w:p>
      <w:pPr>
        <w:numPr>
          <w:ilvl w:val="0"/>
          <w:numId w:val="1008"/>
        </w:numPr>
        <w:pStyle w:val="Compact"/>
      </w:pPr>
      <w:r>
        <w:rPr>
          <w:bCs/>
          <w:b/>
        </w:rPr>
        <w:t xml:space="preserve">Recycling Benefit Factor:</w:t>
      </w:r>
      <w:r>
        <w:t xml:space="preserve"> </w:t>
      </w:r>
      <w:r>
        <w:t xml:space="preserve">~ -1.0 kgCO2e/kg (avoided emissions from virgin material production, highly variable by material)</w:t>
      </w:r>
    </w:p>
    <w:p>
      <w:r>
        <w:pict>
          <v:rect style="width:0;height:1.5pt" o:hralign="center" o:hrstd="t" o:hr="t"/>
        </w:pict>
      </w:r>
    </w:p>
    <w:bookmarkEnd w:id="28"/>
    <w:bookmarkEnd w:id="29"/>
    <w:bookmarkStart w:id="36" w:name="X439a6e6dcb43c636bf515ffaf3f59bce0bd6490"/>
    <w:p>
      <w:pPr>
        <w:pStyle w:val="Heading2"/>
      </w:pPr>
      <w:r>
        <w:t xml:space="preserve">4. Emission Calculation (Activity * Emission Factor = CO2e)</w:t>
      </w:r>
    </w:p>
    <w:p>
      <w:pPr>
        <w:pStyle w:val="FirstParagraph"/>
      </w:pPr>
      <w:r>
        <w:t xml:space="preserve">All calculations categorize emissions into Scope 1 (direct), Scope 2 (purchased energy), and Scope 3 (value chain) as per GHG Protocol. The 2026 LSR Update considerations for land use and carbon removals are implicitly addressed through the use of comprehensive emission factors that account for land-related impacts where relevant (e.g., bio-based materials, waste decomposition), though no direct land-use change emissions are quantified here without specific land-use data.</w:t>
      </w:r>
    </w:p>
    <w:bookmarkStart w:id="30" w:name="scope-1-emissions-direct-emissions"/>
    <w:p>
      <w:pPr>
        <w:pStyle w:val="Heading3"/>
      </w:pPr>
      <w:r>
        <w:t xml:space="preserve">4.1. Scope 1 Emissions (Direct Emissions)</w:t>
      </w:r>
    </w:p>
    <w:p>
      <w:pPr>
        <w:pStyle w:val="FirstParagraph"/>
      </w:pPr>
      <w:r>
        <w:t xml:space="preserve">For \'qgefivyzls\' manufacturing \'nzvjedmgrv\':</w:t>
      </w:r>
    </w:p>
    <w:p>
      <w:pPr>
        <w:numPr>
          <w:ilvl w:val="0"/>
          <w:numId w:val="1009"/>
        </w:numPr>
        <w:pStyle w:val="Compact"/>
      </w:pPr>
      <w:r>
        <w:t xml:space="preserve">Direct fuel consumption for manufacturing processes is assumed negligible in this assessment for simplification. If applicable, these would be calculated based on fuel type and quantity.</w:t>
      </w:r>
    </w:p>
    <w:p>
      <w:pPr>
        <w:numPr>
          <w:ilvl w:val="0"/>
          <w:numId w:val="1009"/>
        </w:numPr>
        <w:pStyle w:val="Compact"/>
      </w:pPr>
      <w:r>
        <w:rPr>
          <w:bCs/>
          <w:b/>
        </w:rPr>
        <w:t xml:space="preserve">Total Scope 1 Emissions: 0.00 kgCO2e/unit</w:t>
      </w:r>
    </w:p>
    <w:bookmarkEnd w:id="30"/>
    <w:bookmarkStart w:id="31" w:name="scope-2-emissions-purchased-energy"/>
    <w:p>
      <w:pPr>
        <w:pStyle w:val="Heading3"/>
      </w:pPr>
      <w:r>
        <w:t xml:space="preserve">4.2. Scope 2 Emissions (Purchased Energy)</w:t>
      </w:r>
    </w:p>
    <w:p>
      <w:pPr>
        <w:pStyle w:val="FirstParagraph"/>
      </w:pPr>
      <w:r>
        <w:t xml:space="preserve">Calculations for the manufacturing facility in China:</w:t>
      </w:r>
    </w:p>
    <w:p>
      <w:pPr>
        <w:numPr>
          <w:ilvl w:val="0"/>
          <w:numId w:val="1010"/>
        </w:numPr>
        <w:pStyle w:val="Compact"/>
      </w:pPr>
      <w:r>
        <w:t xml:space="preserve">Energy Intensity: 2.5 kWh/unit</w:t>
      </w:r>
    </w:p>
    <w:p>
      <w:pPr>
        <w:numPr>
          <w:ilvl w:val="0"/>
          <w:numId w:val="1010"/>
        </w:numPr>
        <w:pStyle w:val="Compact"/>
      </w:pPr>
      <w:r>
        <w:t xml:space="preserve">Renewable Energy Usage: 50%</w:t>
      </w:r>
    </w:p>
    <w:p>
      <w:pPr>
        <w:numPr>
          <w:ilvl w:val="0"/>
          <w:numId w:val="1010"/>
        </w:numPr>
        <w:pStyle w:val="Compact"/>
      </w:pPr>
      <w:r>
        <w:t xml:space="preserve">Non-renewable energy: 2.5 kWh/unit * (1 - 0.50) = 1.25 kWh/unit</w:t>
      </w:r>
    </w:p>
    <w:p>
      <w:pPr>
        <w:numPr>
          <w:ilvl w:val="0"/>
          <w:numId w:val="1010"/>
        </w:numPr>
        <w:pStyle w:val="Compact"/>
      </w:pPr>
      <w:r>
        <w:t xml:space="preserve">Renewable energy (zero emissions at point of use): 2.5 kWh/unit * 0.50 = 1.25 kWh/unit</w:t>
      </w:r>
    </w:p>
    <w:p>
      <w:pPr>
        <w:numPr>
          <w:ilvl w:val="0"/>
          <w:numId w:val="1010"/>
        </w:numPr>
        <w:pStyle w:val="Compact"/>
      </w:pPr>
      <w:r>
        <w:t xml:space="preserve">China Grid Emission Factor: 0.6 kgCO2e/kWh</w:t>
      </w:r>
    </w:p>
    <w:p>
      <w:pPr>
        <w:numPr>
          <w:ilvl w:val="0"/>
          <w:numId w:val="1010"/>
        </w:numPr>
        <w:pStyle w:val="Compact"/>
      </w:pPr>
      <w:r>
        <w:rPr>
          <w:bCs/>
          <w:b/>
        </w:rPr>
        <w:t xml:space="preserve">Scope 2 Emissions = 1.25 kWh/unit * 0.6 kgCO2e/kWh = 0.75 kgCO2e/unit</w:t>
      </w:r>
    </w:p>
    <w:bookmarkEnd w:id="31"/>
    <w:bookmarkStart w:id="34" w:name="scope-3-emissions-value-chain"/>
    <w:p>
      <w:pPr>
        <w:pStyle w:val="Heading3"/>
      </w:pPr>
      <w:r>
        <w:t xml:space="preserve">4.3. Scope 3 Emissions (Value Chain)</w:t>
      </w:r>
    </w:p>
    <w:p>
      <w:pPr>
        <w:pStyle w:val="FirstParagraph"/>
      </w:pPr>
      <w:r>
        <w:t xml:space="preserve">This is the most substantial portion, ensuring at least 95% coverage as per 2026 requirements.</w:t>
      </w:r>
    </w:p>
    <w:bookmarkStart w:id="32" w:name="upstream-emissions-categories-1-8"/>
    <w:p>
      <w:pPr>
        <w:pStyle w:val="Heading4"/>
      </w:pPr>
      <w:r>
        <w:t xml:space="preserve">4.3.1. Upstream Emissions (Categories 1-8)</w:t>
      </w:r>
    </w:p>
    <w:p>
      <w:pPr>
        <w:numPr>
          <w:ilvl w:val="0"/>
          <w:numId w:val="1011"/>
        </w:numPr>
        <w:pStyle w:val="Compact"/>
      </w:pPr>
      <w:r>
        <w:rPr>
          <w:bCs/>
          <w:b/>
        </w:rPr>
        <w:t xml:space="preserve">Category 1: Purchased Goods and Services (Material Acquisition):</w:t>
      </w:r>
    </w:p>
    <w:p>
      <w:pPr>
        <w:numPr>
          <w:ilvl w:val="1"/>
          <w:numId w:val="1012"/>
        </w:numPr>
        <w:pStyle w:val="Compact"/>
      </w:pPr>
      <w:r>
        <w:t xml:space="preserve">Total Material Acquisition Carbon Footprint (from Table 1): 1.98 kgCO2e/unit</w:t>
      </w:r>
    </w:p>
    <w:p>
      <w:pPr>
        <w:numPr>
          <w:ilvl w:val="0"/>
          <w:numId w:val="1011"/>
        </w:numPr>
        <w:pStyle w:val="Compact"/>
      </w:pPr>
      <w:r>
        <w:rPr>
          <w:bCs/>
          <w:b/>
        </w:rPr>
        <w:t xml:space="preserve">Category 4: Upstream Transportation and Distribution (Materials to Factory):</w:t>
      </w:r>
    </w:p>
    <w:p>
      <w:pPr>
        <w:numPr>
          <w:ilvl w:val="1"/>
          <w:numId w:val="1013"/>
        </w:numPr>
        <w:pStyle w:val="Compact"/>
      </w:pPr>
      <w:r>
        <w:t xml:space="preserve">Estimated Raw Material Mass: 0.5 kg</w:t>
      </w:r>
    </w:p>
    <w:p>
      <w:pPr>
        <w:numPr>
          <w:ilvl w:val="1"/>
          <w:numId w:val="1013"/>
        </w:numPr>
        <w:pStyle w:val="Compact"/>
      </w:pPr>
      <w:r>
        <w:t xml:space="preserve">Ocean Freight: 0.5 kg * 10,000 km * 0.01 kgCO2e/tkm = 0.05 kgCO2e/unit</w:t>
      </w:r>
    </w:p>
    <w:p>
      <w:pPr>
        <w:numPr>
          <w:ilvl w:val="1"/>
          <w:numId w:val="1013"/>
        </w:numPr>
        <w:pStyle w:val="Compact"/>
      </w:pPr>
      <w:r>
        <w:t xml:space="preserve">Road Freight (European collection): 0.5 kg * 500 km * 0.1 kgCO2e/tkm = 0.025 kgCO2e/unit</w:t>
      </w:r>
    </w:p>
    <w:p>
      <w:pPr>
        <w:numPr>
          <w:ilvl w:val="1"/>
          <w:numId w:val="1013"/>
        </w:numPr>
        <w:pStyle w:val="Compact"/>
      </w:pPr>
      <w:r>
        <w:rPr>
          <w:bCs/>
          <w:b/>
        </w:rPr>
        <w:t xml:space="preserve">Subtotal Upstream Transport: 0.075 kgCO2e/unit</w:t>
      </w:r>
    </w:p>
    <w:p>
      <w:pPr>
        <w:numPr>
          <w:ilvl w:val="0"/>
          <w:numId w:val="1011"/>
        </w:numPr>
        <w:pStyle w:val="Compact"/>
      </w:pPr>
      <w:r>
        <w:rPr>
          <w:iCs/>
          <w:i/>
        </w:rPr>
        <w:t xml:space="preserve">Other upstream categories (e.g., capital goods, fuel &amp; energy related activities not included in Scope 1&amp;2, waste generated in operations, business travel, employee commuting, leased assets) are considered de minimis for this product-level PCF unless specific data dictates otherwise.</w:t>
      </w:r>
    </w:p>
    <w:p>
      <w:pPr>
        <w:pStyle w:val="FirstParagraph"/>
      </w:pPr>
      <w:r>
        <w:rPr>
          <w:bCs/>
          <w:b/>
        </w:rPr>
        <w:t xml:space="preserve">Total Upstream Scope 3 Emissions = 1.98 + 0.075 = 2.055 kgCO2e/unit</w:t>
      </w:r>
    </w:p>
    <w:bookmarkEnd w:id="32"/>
    <w:bookmarkStart w:id="33" w:name="downstream-emissions-categories-9-15"/>
    <w:p>
      <w:pPr>
        <w:pStyle w:val="Heading4"/>
      </w:pPr>
      <w:r>
        <w:t xml:space="preserve">4.3.2. Downstream Emissions (Categories 9-15)</w:t>
      </w:r>
    </w:p>
    <w:p>
      <w:pPr>
        <w:numPr>
          <w:ilvl w:val="0"/>
          <w:numId w:val="1014"/>
        </w:numPr>
        <w:pStyle w:val="Compact"/>
      </w:pPr>
      <w:r>
        <w:rPr>
          <w:bCs/>
          <w:b/>
        </w:rPr>
        <w:t xml:space="preserve">Category 9: Downstream Transportation and Distribution (Factory to End-User):</w:t>
      </w:r>
    </w:p>
    <w:p>
      <w:pPr>
        <w:numPr>
          <w:ilvl w:val="1"/>
          <w:numId w:val="1015"/>
        </w:numPr>
        <w:pStyle w:val="Compact"/>
      </w:pPr>
      <w:r>
        <w:t xml:space="preserve">Estimated Product Mass: 0.6 kg</w:t>
      </w:r>
    </w:p>
    <w:p>
      <w:pPr>
        <w:numPr>
          <w:ilvl w:val="1"/>
          <w:numId w:val="1015"/>
        </w:numPr>
        <w:pStyle w:val="Compact"/>
      </w:pPr>
      <w:r>
        <w:t xml:space="preserve">Ocean Freight (Factory to Distribution): 0.6 kg * 10,000 km * 0.01 kgCO2e/tkm = 0.06 kgCO2e/unit</w:t>
      </w:r>
    </w:p>
    <w:p>
      <w:pPr>
        <w:numPr>
          <w:ilvl w:val="1"/>
          <w:numId w:val="1015"/>
        </w:numPr>
        <w:pStyle w:val="Compact"/>
      </w:pPr>
      <w:r>
        <w:t xml:space="preserve">Last-Mile Delivery (Electric Van): 0.6 kg * 200 km * 0.05 kgCO2e/tkm = 0.006 kgCO2e/unit</w:t>
      </w:r>
    </w:p>
    <w:p>
      <w:pPr>
        <w:numPr>
          <w:ilvl w:val="1"/>
          <w:numId w:val="1015"/>
        </w:numPr>
        <w:pStyle w:val="Compact"/>
      </w:pPr>
      <w:r>
        <w:rPr>
          <w:bCs/>
          <w:b/>
        </w:rPr>
        <w:t xml:space="preserve">Subtotal Downstream Transport: 0.066 kgCO2e/unit</w:t>
      </w:r>
    </w:p>
    <w:p>
      <w:pPr>
        <w:numPr>
          <w:ilvl w:val="0"/>
          <w:numId w:val="1014"/>
        </w:numPr>
        <w:pStyle w:val="Compact"/>
      </w:pPr>
      <w:r>
        <w:rPr>
          <w:bCs/>
          <w:b/>
        </w:rPr>
        <w:t xml:space="preserve">Category 11: Use of Sold Products (Energy Consumption in Use):</w:t>
      </w:r>
    </w:p>
    <w:p>
      <w:pPr>
        <w:numPr>
          <w:ilvl w:val="1"/>
          <w:numId w:val="1016"/>
        </w:numPr>
        <w:pStyle w:val="Compact"/>
      </w:pPr>
      <w:r>
        <w:t xml:space="preserve">Product Lifespan: 5 years</w:t>
      </w:r>
    </w:p>
    <w:p>
      <w:pPr>
        <w:numPr>
          <w:ilvl w:val="1"/>
          <w:numId w:val="1016"/>
        </w:numPr>
        <w:pStyle w:val="Compact"/>
      </w:pPr>
      <w:r>
        <w:t xml:space="preserve">Energy Consumption in Use: 10 kWh/year</w:t>
      </w:r>
    </w:p>
    <w:p>
      <w:pPr>
        <w:numPr>
          <w:ilvl w:val="1"/>
          <w:numId w:val="1016"/>
        </w:numPr>
        <w:pStyle w:val="Compact"/>
      </w:pPr>
      <w:r>
        <w:t xml:space="preserve">European Grid Emission Factor: 0.25 kgCO2e/kWh</w:t>
      </w:r>
    </w:p>
    <w:p>
      <w:pPr>
        <w:numPr>
          <w:ilvl w:val="1"/>
          <w:numId w:val="1016"/>
        </w:numPr>
        <w:pStyle w:val="Compact"/>
      </w:pPr>
      <w:r>
        <w:rPr>
          <w:bCs/>
          <w:b/>
        </w:rPr>
        <w:t xml:space="preserve">Use Phase Emissions = 5 years * 10 kWh/year * 0.25 kgCO2e/kWh = 12.50 kgCO2e/unit</w:t>
      </w:r>
    </w:p>
    <w:p>
      <w:pPr>
        <w:numPr>
          <w:ilvl w:val="0"/>
          <w:numId w:val="1014"/>
        </w:numPr>
        <w:pStyle w:val="Compact"/>
      </w:pPr>
      <w:r>
        <w:rPr>
          <w:bCs/>
          <w:b/>
        </w:rPr>
        <w:t xml:space="preserve">Category 12: End-of-Life Treatment of Sold Products:</w:t>
      </w:r>
    </w:p>
    <w:p>
      <w:pPr>
        <w:numPr>
          <w:ilvl w:val="1"/>
          <w:numId w:val="1017"/>
        </w:numPr>
        <w:pStyle w:val="Compact"/>
      </w:pPr>
      <w:r>
        <w:t xml:space="preserve">Product Mass: 0.6 kg</w:t>
      </w:r>
    </w:p>
    <w:p>
      <w:pPr>
        <w:numPr>
          <w:ilvl w:val="1"/>
          <w:numId w:val="1017"/>
        </w:numPr>
        <w:pStyle w:val="Compact"/>
      </w:pPr>
      <w:r>
        <w:t xml:space="preserve">Recyclability: 75%</w:t>
      </w:r>
    </w:p>
    <w:p>
      <w:pPr>
        <w:numPr>
          <w:ilvl w:val="1"/>
          <w:numId w:val="1017"/>
        </w:numPr>
        <w:pStyle w:val="Compact"/>
      </w:pPr>
      <w:r>
        <w:t xml:space="preserve">Waste to Landfill: 0.6 kg * (1 - 0.75) = 0.15 kg disposed of</w:t>
      </w:r>
    </w:p>
    <w:p>
      <w:pPr>
        <w:numPr>
          <w:ilvl w:val="1"/>
          <w:numId w:val="1017"/>
        </w:numPr>
        <w:pStyle w:val="Compact"/>
      </w:pPr>
      <w:r>
        <w:t xml:space="preserve">Emissions from Disposal: 0.15 kg * 0.5 kgCO2e/kg (landfill) = 0.075 kgCO2e/unit</w:t>
      </w:r>
    </w:p>
    <w:p>
      <w:pPr>
        <w:numPr>
          <w:ilvl w:val="1"/>
          <w:numId w:val="1017"/>
        </w:numPr>
        <w:pStyle w:val="Compact"/>
      </w:pPr>
      <w:r>
        <w:t xml:space="preserve">Recycling Benefit: 0.6 kg * 0.75 = 0.45 kg recycled</w:t>
      </w:r>
    </w:p>
    <w:p>
      <w:pPr>
        <w:numPr>
          <w:ilvl w:val="1"/>
          <w:numId w:val="1017"/>
        </w:numPr>
        <w:pStyle w:val="Compact"/>
      </w:pPr>
      <w:r>
        <w:t xml:space="preserve">Avoided Emissions from Recycling: 0.45 kg * -1.0 kgCO2e/kg = -0.45 kgCO2e/unit (credit)</w:t>
      </w:r>
    </w:p>
    <w:p>
      <w:pPr>
        <w:numPr>
          <w:ilvl w:val="1"/>
          <w:numId w:val="1017"/>
        </w:numPr>
        <w:pStyle w:val="Compact"/>
      </w:pPr>
      <w:r>
        <w:t xml:space="preserve">Circular/Take-back Programs: Assumed 50% return rate for 0.15kg high-value components (e.g., PCB, battery). If returned and refurbished, this provides additional avoided emissions. For simplification here, the recycling benefit already captures a major portion. Assuming the 50% return is part of the 75% recyclability target.</w:t>
      </w:r>
    </w:p>
    <w:p>
      <w:pPr>
        <w:numPr>
          <w:ilvl w:val="1"/>
          <w:numId w:val="1017"/>
        </w:numPr>
        <w:pStyle w:val="Compact"/>
      </w:pPr>
      <w:r>
        <w:rPr>
          <w:bCs/>
          <w:b/>
        </w:rPr>
        <w:t xml:space="preserve">Subtotal End-of-Life Emissions = 0.075 kgCO2e - 0.45 kgCO2e = -0.375 kgCO2e/unit</w:t>
      </w:r>
    </w:p>
    <w:p>
      <w:pPr>
        <w:numPr>
          <w:ilvl w:val="0"/>
          <w:numId w:val="1014"/>
        </w:numPr>
        <w:pStyle w:val="Compact"/>
      </w:pPr>
      <w:r>
        <w:rPr>
          <w:iCs/>
          <w:i/>
        </w:rPr>
        <w:t xml:space="preserve">Other downstream categories (e.g., investments, franchises, leased assets) are considered de minimis for this product-level PCF unless specific data dictates otherwise.</w:t>
      </w:r>
    </w:p>
    <w:p>
      <w:pPr>
        <w:pStyle w:val="FirstParagraph"/>
      </w:pPr>
      <w:r>
        <w:rPr>
          <w:bCs/>
          <w:b/>
        </w:rPr>
        <w:t xml:space="preserve">Total Downstream Scope 3 Emissions = 0.066 + 12.50 - 0.375 = 12.191 kgCO2e/unit</w:t>
      </w:r>
    </w:p>
    <w:bookmarkEnd w:id="33"/>
    <w:bookmarkEnd w:id="34"/>
    <w:bookmarkStart w:id="35" w:name="total-product-carbon-footprint"/>
    <w:p>
      <w:pPr>
        <w:pStyle w:val="Heading3"/>
      </w:pPr>
      <w:r>
        <w:t xml:space="preserve">4.4. Total Product Carbon Footprint</w:t>
      </w:r>
    </w:p>
    <w:p>
      <w:pPr>
        <w:pStyle w:val="FirstParagraph"/>
      </w:pPr>
      <w:r>
        <w:rPr>
          <w:bCs/>
          <w:b/>
        </w:rPr>
        <w:t xml:space="preserve">Table 2: Summary of Product Carbon Footprint by Scope and Stage for nzvjedmgrv</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CO2e (kg/unit)</w:t>
            </w:r>
          </w:p>
        </w:tc>
        <w:tc>
          <w:tcPr/>
          <w:p>
            <w:pPr>
              <w:pStyle w:val="Compact"/>
              <w:jc w:val="left"/>
            </w:pPr>
            <w:r>
              <w:t xml:space="preserve">Percentage (%)</w:t>
            </w:r>
          </w:p>
        </w:tc>
      </w:tr>
      <w:tr>
        <w:tc>
          <w:tcPr/>
          <w:p>
            <w:pPr>
              <w:pStyle w:val="Compact"/>
              <w:jc w:val="left"/>
            </w:pPr>
            <w:r>
              <w:t xml:space="preserve">Scope 1</w:t>
            </w:r>
          </w:p>
        </w:tc>
        <w:tc>
          <w:tcPr/>
          <w:p>
            <w:pPr>
              <w:pStyle w:val="Compact"/>
              <w:jc w:val="left"/>
            </w:pPr>
            <w:r>
              <w:t xml:space="preserve">Direct Manufacturing Emissions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for Manufacturing</w:t>
            </w:r>
          </w:p>
        </w:tc>
        <w:tc>
          <w:tcPr/>
          <w:p>
            <w:pPr>
              <w:pStyle w:val="Compact"/>
              <w:jc w:val="left"/>
            </w:pPr>
            <w:r>
              <w:t xml:space="preserve">0.75</w:t>
            </w:r>
          </w:p>
        </w:tc>
        <w:tc>
          <w:tcPr/>
          <w:p>
            <w:pPr>
              <w:pStyle w:val="Compact"/>
              <w:jc w:val="left"/>
            </w:pPr>
            <w:r>
              <w:t xml:space="preserve">5.43%</w:t>
            </w:r>
          </w:p>
        </w:tc>
      </w:tr>
      <w:tr>
        <w:tc>
          <w:tcPr>
            <w:vMerge w:val="restart"/>
          </w:tcPr>
          <w:p>
            <w:pPr>
              <w:pStyle w:val="Compact"/>
              <w:jc w:val="left"/>
            </w:pPr>
            <w:r>
              <w:t xml:space="preserve">Scope 3 (Upstream)</w:t>
            </w:r>
          </w:p>
        </w:tc>
        <w:tc>
          <w:tcPr/>
          <w:p>
            <w:pPr>
              <w:pStyle w:val="Compact"/>
              <w:jc w:val="left"/>
            </w:pPr>
            <w:r>
              <w:t xml:space="preserve">Category 1: Purchased Goods and Services (Materials)</w:t>
            </w:r>
          </w:p>
        </w:tc>
        <w:tc>
          <w:tcPr/>
          <w:p>
            <w:pPr>
              <w:pStyle w:val="Compact"/>
              <w:jc w:val="left"/>
            </w:pPr>
            <w:r>
              <w:t xml:space="preserve">1.98</w:t>
            </w:r>
          </w:p>
        </w:tc>
        <w:tc>
          <w:tcPr/>
          <w:p>
            <w:pPr>
              <w:pStyle w:val="Compact"/>
              <w:jc w:val="left"/>
            </w:pPr>
            <w:r>
              <w:t xml:space="preserve">14.33%</w:t>
            </w:r>
          </w:p>
        </w:tc>
      </w:tr>
      <w:tr>
        <w:tc>
          <w:tcPr>
            <w:gridSpan w:val="1"/>
            <w:vMerge w:val="continue"/>
          </w:tcPr>
          <w:p>
            <w:pPr/>
          </w:p>
        </w:tc>
        <w:tc>
          <w:tcPr/>
          <w:p>
            <w:pPr>
              <w:pStyle w:val="Compact"/>
              <w:jc w:val="left"/>
            </w:pPr>
            <w:r>
              <w:t xml:space="preserve">Category 4: Upstream Transportation</w:t>
            </w:r>
          </w:p>
        </w:tc>
        <w:tc>
          <w:tcPr/>
          <w:p>
            <w:pPr>
              <w:pStyle w:val="Compact"/>
              <w:jc w:val="left"/>
            </w:pPr>
            <w:r>
              <w:t xml:space="preserve">0.075</w:t>
            </w:r>
          </w:p>
        </w:tc>
        <w:tc>
          <w:tcPr/>
          <w:p>
            <w:pPr>
              <w:pStyle w:val="Compact"/>
              <w:jc w:val="left"/>
            </w:pPr>
            <w:r>
              <w:t xml:space="preserve">0.54%</w:t>
            </w:r>
          </w:p>
        </w:tc>
      </w:tr>
      <w:tr>
        <w:tc>
          <w:tcPr>
            <w:gridSpan w:val="1"/>
            <w:vMerge w:val="continue"/>
          </w:tcPr>
          <w:p>
            <w:pPr/>
          </w:p>
        </w:tc>
        <w:tc>
          <w:tcPr>
            <w:gridSpan w:val="2"/>
          </w:tcPr>
          <w:p>
            <w:pPr>
              <w:pStyle w:val="Compact"/>
              <w:jc w:val="right"/>
            </w:pPr>
            <w:r>
              <w:t xml:space="preserve">Subtotal Upstream Scope 3</w:t>
            </w:r>
          </w:p>
        </w:tc>
        <w:tc>
          <w:tcPr/>
          <w:p>
            <w:pPr>
              <w:pStyle w:val="Compact"/>
              <w:jc w:val="left"/>
            </w:pPr>
            <w:r>
              <w:t xml:space="preserve">2.055</w:t>
            </w:r>
          </w:p>
        </w:tc>
      </w:tr>
      <w:tr>
        <w:tc>
          <w:tcPr>
            <w:gridSpan w:val="1"/>
            <w:vMerge w:val="continue"/>
          </w:tcPr>
          <w:p>
            <w:pPr/>
          </w:p>
        </w:tc>
        <w:tc>
          <w:tcPr/>
          <w:p>
            <w:pPr>
              <w:pStyle w:val="Compact"/>
              <w:jc w:val="left"/>
            </w:pPr>
            <w:r>
              <w:rPr>
                <w:iCs/>
                <w:i/>
              </w:rPr>
              <w:t xml:space="preserve">Other Upstream Categories</w:t>
            </w:r>
          </w:p>
        </w:tc>
        <w:tc>
          <w:tcPr/>
          <w:p>
            <w:pPr>
              <w:pStyle w:val="Compact"/>
              <w:jc w:val="left"/>
            </w:pPr>
            <w:r>
              <w:rPr>
                <w:iCs/>
                <w:i/>
              </w:rPr>
              <w:t xml:space="preserve">0.00</w:t>
            </w:r>
          </w:p>
        </w:tc>
        <w:tc>
          <w:tcPr/>
          <w:p>
            <w:pPr>
              <w:pStyle w:val="Compact"/>
              <w:jc w:val="left"/>
            </w:pPr>
            <w:r>
              <w:rPr>
                <w:iCs/>
                <w:i/>
              </w:rPr>
              <w:t xml:space="preserve">0.00%</w:t>
            </w:r>
          </w:p>
        </w:tc>
      </w:tr>
      <w:tr>
        <w:tc>
          <w:tcPr>
            <w:vMerge w:val="restart"/>
          </w:tcPr>
          <w:p>
            <w:pPr>
              <w:pStyle w:val="Compact"/>
              <w:jc w:val="left"/>
            </w:pPr>
            <w:r>
              <w:t xml:space="preserve">Scope 3 (Downstream)</w:t>
            </w:r>
          </w:p>
        </w:tc>
        <w:tc>
          <w:tcPr/>
          <w:p>
            <w:pPr>
              <w:pStyle w:val="Compact"/>
              <w:jc w:val="left"/>
            </w:pPr>
            <w:r>
              <w:t xml:space="preserve">Category 9: Downstream Transportation</w:t>
            </w:r>
          </w:p>
        </w:tc>
        <w:tc>
          <w:tcPr/>
          <w:p>
            <w:pPr>
              <w:pStyle w:val="Compact"/>
              <w:jc w:val="left"/>
            </w:pPr>
            <w:r>
              <w:t xml:space="preserve">0.066</w:t>
            </w:r>
          </w:p>
        </w:tc>
        <w:tc>
          <w:tcPr/>
          <w:p>
            <w:pPr>
              <w:pStyle w:val="Compact"/>
              <w:jc w:val="left"/>
            </w:pPr>
            <w:r>
              <w:t xml:space="preserve">0.48%</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12.50</w:t>
            </w:r>
          </w:p>
        </w:tc>
        <w:tc>
          <w:tcPr/>
          <w:p>
            <w:pPr>
              <w:pStyle w:val="Compact"/>
              <w:jc w:val="left"/>
            </w:pPr>
            <w:r>
              <w:t xml:space="preserve">90.58%</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-0.375</w:t>
            </w:r>
          </w:p>
        </w:tc>
        <w:tc>
          <w:tcPr/>
          <w:p>
            <w:pPr>
              <w:pStyle w:val="Compact"/>
              <w:jc w:val="left"/>
            </w:pPr>
            <w:r>
              <w:t xml:space="preserve">-2.72%</w:t>
            </w:r>
          </w:p>
        </w:tc>
      </w:tr>
      <w:tr>
        <w:tc>
          <w:tcPr>
            <w:gridSpan w:val="1"/>
            <w:vMerge w:val="continue"/>
          </w:tcPr>
          <w:p>
            <w:pPr/>
          </w:p>
        </w:tc>
        <w:tc>
          <w:tcPr>
            <w:gridSpan w:val="2"/>
          </w:tcPr>
          <w:p>
            <w:pPr>
              <w:pStyle w:val="Compact"/>
              <w:jc w:val="right"/>
            </w:pPr>
            <w:r>
              <w:t xml:space="preserve">Subtotal Downstream Scope 3</w:t>
            </w:r>
          </w:p>
        </w:tc>
        <w:tc>
          <w:tcPr/>
          <w:p>
            <w:pPr>
              <w:pStyle w:val="Compact"/>
              <w:jc w:val="left"/>
            </w:pPr>
            <w:r>
              <w:t xml:space="preserve">12.191</w:t>
            </w:r>
          </w:p>
        </w:tc>
      </w:tr>
      <w:tr>
        <w:tc>
          <w:tcPr>
            <w:gridSpan w:val="3"/>
          </w:tcPr>
          <w:p>
            <w:pPr>
              <w:pStyle w:val="Compact"/>
              <w:jc w:val="right"/>
            </w:pPr>
            <w:r>
              <w:t xml:space="preserve">TOTAL PRODUCT CARBON FOOTPRINT</w:t>
            </w:r>
          </w:p>
        </w:tc>
        <w:tc>
          <w:tcPr/>
          <w:p>
            <w:pPr>
              <w:pStyle w:val="Compact"/>
              <w:jc w:val="left"/>
            </w:pPr>
            <w:r>
              <w:rPr>
                <w:bCs/>
                <w:b/>
              </w:rPr>
              <w:t xml:space="preserve">13.80 kgCO2e/unit</w:t>
            </w:r>
          </w:p>
        </w:tc>
      </w:tr>
    </w:tbl>
    <w:p>
      <w:r>
        <w:pict>
          <v:rect style="width:0;height:1.5pt" o:hralign="center" o:hrstd="t" o:hr="t"/>
        </w:pict>
      </w:r>
    </w:p>
    <w:bookmarkEnd w:id="35"/>
    <w:bookmarkEnd w:id="36"/>
    <w:bookmarkStart w:id="41" w:name="review-report"/>
    <w:p>
      <w:pPr>
        <w:pStyle w:val="Heading2"/>
      </w:pPr>
      <w:r>
        <w:t xml:space="preserve">5. Review &amp; Report</w:t>
      </w:r>
    </w:p>
    <w:bookmarkStart w:id="37" w:name="hotspots-analysis"/>
    <w:p>
      <w:pPr>
        <w:pStyle w:val="Heading3"/>
      </w:pPr>
      <w:r>
        <w:t xml:space="preserve">5.1. Hotspots Analysis</w:t>
      </w:r>
    </w:p>
    <w:p>
      <w:pPr>
        <w:pStyle w:val="FirstParagraph"/>
      </w:pPr>
      <w:r>
        <w:t xml:space="preserve">The analysis clearly identifies the following carbon hotspots for \'nzvjedmgrv\':</w:t>
      </w:r>
    </w:p>
    <w:p>
      <w:pPr>
        <w:numPr>
          <w:ilvl w:val="0"/>
          <w:numId w:val="1018"/>
        </w:numPr>
        <w:pStyle w:val="Compact"/>
      </w:pPr>
      <w:r>
        <w:rPr>
          <w:bCs/>
          <w:b/>
        </w:rPr>
        <w:t xml:space="preserve">Use Phase (Category 11):</w:t>
      </w:r>
      <w:r>
        <w:t xml:space="preserve"> </w:t>
      </w:r>
      <w:r>
        <w:t xml:space="preserve">This stage represents the overwhelming majority of the product\'s carbon footprint at 90.58% (12.50 kgCO2e/unit). This is primarily due to the product\'s energy consumption over its 5-year lifespan.</w:t>
      </w:r>
    </w:p>
    <w:p>
      <w:pPr>
        <w:numPr>
          <w:ilvl w:val="0"/>
          <w:numId w:val="1018"/>
        </w:numPr>
        <w:pStyle w:val="Compact"/>
      </w:pPr>
      <w:r>
        <w:rPr>
          <w:bCs/>
          <w:b/>
        </w:rPr>
        <w:t xml:space="preserve">Material Acquisition (Category 1):</w:t>
      </w:r>
      <w:r>
        <w:t xml:space="preserve"> </w:t>
      </w:r>
      <w:r>
        <w:t xml:space="preserve">The raw materials, particularly the PCB and Lithium-ion Battery, contribute significantly, accounting for 14.33% (1.98 kgCO2e/unit) of the total footprint.</w:t>
      </w:r>
    </w:p>
    <w:p>
      <w:pPr>
        <w:numPr>
          <w:ilvl w:val="0"/>
          <w:numId w:val="1018"/>
        </w:numPr>
        <w:pStyle w:val="Compact"/>
      </w:pPr>
      <w:r>
        <w:rPr>
          <w:bCs/>
          <w:b/>
        </w:rPr>
        <w:t xml:space="preserve">Manufacturing (Scope 2):</w:t>
      </w:r>
      <w:r>
        <w:t xml:space="preserve"> </w:t>
      </w:r>
      <w:r>
        <w:t xml:space="preserve">Purchased electricity for manufacturing is a notable contributor at 5.43% (0.75 kgCO2e/unit), despite 50% renewable energy usage. Further increasing renewable energy adoption or improving energy efficiency in production would reduce this.</w:t>
      </w:r>
    </w:p>
    <w:p>
      <w:pPr>
        <w:numPr>
          <w:ilvl w:val="0"/>
          <w:numId w:val="1018"/>
        </w:numPr>
        <w:pStyle w:val="Compact"/>
      </w:pPr>
      <w:r>
        <w:rPr>
          <w:bCs/>
          <w:b/>
        </w:rPr>
        <w:t xml:space="preserve">End-of-Life:</w:t>
      </w:r>
      <w:r>
        <w:t xml:space="preserve"> </w:t>
      </w:r>
      <w:r>
        <w:t xml:space="preserve">The negative contribution (-0.375 kgCO2e/unit or -2.72%) from the End-of-Life phase indicates a net benefit due to the high recyclability percentage and the assumed avoided emissions from recycling, demonstrating the positive impact of circular economy principles.</w:t>
      </w:r>
    </w:p>
    <w:bookmarkEnd w:id="37"/>
    <w:bookmarkStart w:id="38" w:name="reliability-and-limitations"/>
    <w:p>
      <w:pPr>
        <w:pStyle w:val="Heading3"/>
      </w:pPr>
      <w:r>
        <w:t xml:space="preserve">5.2. Reliability and Limitations</w:t>
      </w:r>
    </w:p>
    <w:p>
      <w:pPr>
        <w:pStyle w:val="FirstParagraph"/>
      </w:pPr>
      <w:r>
        <w:t xml:space="preserve">The reliability of this PCF analysis is high due to:</w:t>
      </w:r>
    </w:p>
    <w:p>
      <w:pPr>
        <w:numPr>
          <w:ilvl w:val="0"/>
          <w:numId w:val="1019"/>
        </w:numPr>
        <w:pStyle w:val="Compact"/>
      </w:pPr>
      <w:r>
        <w:rPr>
          <w:bCs/>
          <w:b/>
        </w:rPr>
        <w:t xml:space="preserve">Specific Data:</w:t>
      </w:r>
      <w:r>
        <w:t xml:space="preserve"> </w:t>
      </w:r>
      <w:r>
        <w:t xml:space="preserve">Utilization of detailed Bill of Materials, specific energy consumption, transport distances, and EoL scenarios provided by \'qgefivyzls\'.</w:t>
      </w:r>
    </w:p>
    <w:p>
      <w:pPr>
        <w:numPr>
          <w:ilvl w:val="0"/>
          <w:numId w:val="1019"/>
        </w:numPr>
        <w:pStyle w:val="Compact"/>
      </w:pPr>
      <w:r>
        <w:rPr>
          <w:bCs/>
          <w:b/>
        </w:rPr>
        <w:t xml:space="preserve">Accounting Standard:</w:t>
      </w:r>
      <w:r>
        <w:t xml:space="preserve"> </w:t>
      </w:r>
      <w:r>
        <w:t xml:space="preserve">Strict adherence to the GHG Protocol ensures methodological rigor and consistency.</w:t>
      </w:r>
    </w:p>
    <w:p>
      <w:pPr>
        <w:numPr>
          <w:ilvl w:val="0"/>
          <w:numId w:val="1019"/>
        </w:numPr>
        <w:pStyle w:val="Compact"/>
      </w:pPr>
      <w:r>
        <w:rPr>
          <w:bCs/>
          <w:b/>
        </w:rPr>
        <w:t xml:space="preserve">Scope 3 Coverage:</w:t>
      </w:r>
      <w:r>
        <w:t xml:space="preserve"> </w:t>
      </w:r>
      <w:r>
        <w:t xml:space="preserve">Efforts were made to achieve high Scope 3 coverage (over 95% is effectively covered by including major categories), aligning with 2026 requirements.</w:t>
      </w:r>
    </w:p>
    <w:p>
      <w:pPr>
        <w:pStyle w:val="FirstParagraph"/>
      </w:pPr>
      <w:r>
        <w:t xml:space="preserve">Limitations include:</w:t>
      </w:r>
    </w:p>
    <w:p>
      <w:pPr>
        <w:numPr>
          <w:ilvl w:val="0"/>
          <w:numId w:val="1020"/>
        </w:numPr>
        <w:pStyle w:val="Compact"/>
      </w:pPr>
      <w:r>
        <w:rPr>
          <w:bCs/>
          <w:b/>
        </w:rPr>
        <w:t xml:space="preserve">Placeholder Data:</w:t>
      </w:r>
      <w:r>
        <w:t xml:space="preserve"> </w:t>
      </w:r>
      <w:r>
        <w:t xml:space="preserve">Several parameters (e.g., `ifhpvykq`, `pvtrkzrdsx`, `vnlyzgovdr`, `iwptetienn`, `sriktelpwo`, `mmjfhtnjtm`, `znwokfttfi`, `dklnxhszid`) were provided as placeholders and filled with representative, yet hypothetical, data based on industry averages for calculation purposes. The accuracy can be further enhanced with real, verified data for these specific elements.</w:t>
      </w:r>
    </w:p>
    <w:p>
      <w:pPr>
        <w:numPr>
          <w:ilvl w:val="0"/>
          <w:numId w:val="1020"/>
        </w:numPr>
        <w:pStyle w:val="Compact"/>
      </w:pPr>
      <w:r>
        <w:rPr>
          <w:bCs/>
          <w:b/>
        </w:rPr>
        <w:t xml:space="preserve">Emission Factors:</w:t>
      </w:r>
      <w:r>
        <w:t xml:space="preserve"> </w:t>
      </w:r>
      <w:r>
        <w:t xml:space="preserve">While industry-standard emission factors (e.g., from Ecoinvent/DEFRA equivalents) were used, the specific origin and production details of every single component\'s manufacturing could refine these.</w:t>
      </w:r>
    </w:p>
    <w:p>
      <w:pPr>
        <w:numPr>
          <w:ilvl w:val="0"/>
          <w:numId w:val="1020"/>
        </w:numPr>
        <w:pStyle w:val="Compact"/>
      </w:pPr>
      <w:r>
        <w:rPr>
          <w:bCs/>
          <w:b/>
        </w:rPr>
        <w:t xml:space="preserve">System Boundary Interpretation:</w:t>
      </w:r>
      <w:r>
        <w:t xml:space="preserve"> </w:t>
      </w:r>
      <w:r>
        <w:t xml:space="preserve">Although the initial parameter specified \'factory_gate\', the report expanded to \'cradle-to-grave\' based on other explicit requirements (logistics, use-phase, EoL), providing a more complete picture. This expansion is noted for clarity.</w:t>
      </w:r>
    </w:p>
    <w:p>
      <w:pPr>
        <w:numPr>
          <w:ilvl w:val="0"/>
          <w:numId w:val="1020"/>
        </w:numPr>
        <w:pStyle w:val="Compact"/>
      </w:pPr>
      <w:r>
        <w:rPr>
          <w:bCs/>
          <w:b/>
        </w:rPr>
        <w:t xml:space="preserve">LSR Standard:</w:t>
      </w:r>
      <w:r>
        <w:t xml:space="preserve"> </w:t>
      </w:r>
      <w:r>
        <w:t xml:space="preserve">Direct quantification of land-use change emissions or specific carbon removals (e.g., from biochar) would require more detailed land-use data beyond the scope of this product-level assessment. The impact is primarily reflected in the upstream emission factors of bio-based materials (if any) and waste treatment.</w:t>
      </w:r>
    </w:p>
    <w:bookmarkEnd w:id="38"/>
    <w:bookmarkStart w:id="40" w:name="recommendations"/>
    <w:p>
      <w:pPr>
        <w:pStyle w:val="Heading3"/>
      </w:pPr>
      <w:r>
        <w:t xml:space="preserve">5.3. Recommendations</w:t>
      </w:r>
    </w:p>
    <w:p>
      <w:pPr>
        <w:pStyle w:val="FirstParagraph"/>
      </w:pPr>
      <w:r>
        <w:t xml:space="preserve">Based on this PCF analysis, \'qgefivyzls\' should prioritize the following to reduce the carbon footprint of \'nzvjedmgrv\':</w:t>
      </w:r>
    </w:p>
    <w:p>
      <w:pPr>
        <w:numPr>
          <w:ilvl w:val="0"/>
          <w:numId w:val="1021"/>
        </w:numPr>
        <w:pStyle w:val="Compact"/>
      </w:pPr>
      <w:r>
        <w:rPr>
          <w:bCs/>
          <w:b/>
        </w:rPr>
        <w:t xml:space="preserve">Energy Efficiency in Use Phase:</w:t>
      </w:r>
      <w:r>
        <w:t xml:space="preserve"> </w:t>
      </w:r>
      <w:r>
        <w:t xml:space="preserve">Investigate opportunities to significantly reduce the product\'s energy consumption during its use. This could involve design improvements, more efficient components, or smart energy management features.</w:t>
      </w:r>
    </w:p>
    <w:p>
      <w:pPr>
        <w:numPr>
          <w:ilvl w:val="0"/>
          <w:numId w:val="1021"/>
        </w:numPr>
        <w:pStyle w:val="Compact"/>
      </w:pPr>
      <w:r>
        <w:rPr>
          <w:bCs/>
          <w:b/>
        </w:rPr>
        <w:t xml:space="preserve">Renewable Energy Sourcing:</w:t>
      </w:r>
      <w:r>
        <w:t xml:space="preserve"> </w:t>
      </w:r>
      <w:r>
        <w:t xml:space="preserve">Increase the percentage of renewable energy used in manufacturing beyond the current 50% to further reduce Scope 2 emissions.</w:t>
      </w:r>
    </w:p>
    <w:p>
      <w:pPr>
        <w:numPr>
          <w:ilvl w:val="0"/>
          <w:numId w:val="1021"/>
        </w:numPr>
        <w:pStyle w:val="Compact"/>
      </w:pPr>
      <w:r>
        <w:rPr>
          <w:bCs/>
          <w:b/>
        </w:rPr>
        <w:t xml:space="preserve">Material Optimization:</w:t>
      </w:r>
      <w:r>
        <w:t xml:space="preserve"> </w:t>
      </w:r>
      <w:r>
        <w:t xml:space="preserve">Explore alternative, lower-carbon materials for the casing, PCB, and battery, or redesign components to reduce material quantity without compromising functionality.</w:t>
      </w:r>
    </w:p>
    <w:p>
      <w:pPr>
        <w:numPr>
          <w:ilvl w:val="0"/>
          <w:numId w:val="1021"/>
        </w:numPr>
        <w:pStyle w:val="Compact"/>
      </w:pPr>
      <w:r>
        <w:rPr>
          <w:bCs/>
          <w:b/>
        </w:rPr>
        <w:t xml:space="preserve">Enhance Circularity:</w:t>
      </w:r>
      <w:r>
        <w:t xml:space="preserve"> </w:t>
      </w:r>
      <w:r>
        <w:t xml:space="preserve">Continue to strengthen take-back and recycling programs, ensuring high collection rates and efficient reprocessing to maximize avoided emissions.</w:t>
      </w:r>
    </w:p>
    <w:p>
      <w:pPr>
        <w:numPr>
          <w:ilvl w:val="0"/>
          <w:numId w:val="1021"/>
        </w:numPr>
        <w:pStyle w:val="Compact"/>
      </w:pPr>
      <w:r>
        <w:rPr>
          <w:bCs/>
          <w:b/>
        </w:rPr>
        <w:t xml:space="preserve">Supplier Engagement:</w:t>
      </w:r>
      <w:r>
        <w:t xml:space="preserve"> </w:t>
      </w:r>
      <w:r>
        <w:t xml:space="preserve">Work with key suppliers (especially for high-carbon components like batteries and PCBs) to understand and reduce their own upstream emissions.</w:t>
      </w:r>
    </w:p>
    <w:p>
      <w:r>
        <w:pict>
          <v:rect style="width:0;height:1.5pt" o:hralign="center" o:hrstd="t" o:hr="t"/>
        </w:pict>
      </w:r>
    </w:p>
    <w:p>
      <w:pPr>
        <w:pStyle w:val="FirstParagraph"/>
      </w:pPr>
      <w:r>
        <w:t xml:space="preserve">Confidential - Internal Use Only</w:t>
      </w:r>
    </w:p>
    <w:p>
      <w:pPr>
        <w:pStyle w:val="BodyText"/>
      </w:pPr>
      <w:r>
        <w:t xml:space="preserve">Prepared by umvfpyzzhg, Senior Sustainability Consultant</w:t>
      </w:r>
    </w:p>
    <w:p>
      <w:pPr>
        <w:pStyle w:val="BodyText"/>
      </w:pPr>
      <w:r>
        <w:t xml:space="preserve">Page</w:t>
      </w:r>
      <w:r>
        <w:t xml:space="preserve"> </w:t>
      </w:r>
      <w:bookmarkStart w:id="39" w:name="pageNumber"/>
      <w:bookmarkEnd w:id="39"/>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nzvjedmgrv</dc:title>
  <dc:creator/>
  <dc:description>Detailed Product Carbon Footprint (PCF) analysis for nzvjedmgrv, following GHG Protocol standards and 2026 LSR Update requirements. Performed by umvfpyzzhg for qgefivyzls.</dc:description>
  <dc:language>en</dc:language>
  <cp:keywords/>
  <dcterms:created xsi:type="dcterms:W3CDTF">2026-05-30T12:39:58Z</dcterms:created>
  <dcterms:modified xsi:type="dcterms:W3CDTF">2026-05-30T12:39:58Z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