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nywtnydyjy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nywtnydyjy</w:t>
      </w:r>
    </w:p>
    <w:p>
      <w:pPr>
        <w:pStyle w:val="BodyText"/>
      </w:pPr>
      <w:r>
        <w:t xml:space="preserve">**Company:** hulyttgsnk</w:t>
      </w:r>
    </w:p>
    <w:p>
      <w:pPr>
        <w:pStyle w:val="BodyText"/>
      </w:pPr>
      <w:r>
        <w:t xml:space="preserve">**Accounting Standard:** GHG Protocol</w:t>
      </w:r>
    </w:p>
    <w:p>
      <w:pPr>
        <w:pStyle w:val="BodyText"/>
      </w:pPr>
      <w:r>
        <w:t xml:space="preserve">**Senior Sustainability Consultant:** zlujqhkjhm</w:t>
      </w:r>
    </w:p>
    <w:p>
      <w:pPr>
        <w:pStyle w:val="BodyText"/>
      </w:pPr>
      <w:r>
        <w:t xml:space="preserve">*Disclaimer: This report is generated based on available data, industry standards, and illustrative examples for placeholder parameters provided in the request. While every effort has been made to ensure accuracy and adherence to the GHG Protocol, actual emissions may vary based on precise primary data.*</w:t>
      </w:r>
    </w:p>
    <w:bookmarkEnd w:id="20"/>
    <w:bookmarkStart w:id="21" w:name="X2e1f77eb35557e70273a7fd6c2158c2ed7ad3f7"/>
    <w:p>
      <w:pPr>
        <w:pStyle w:val="Heading1"/>
      </w:pPr>
      <w:r>
        <w:t xml:space="preserve">Product Carbon Footprint Report for nywtnydyjy</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\'nywtnydyjy\', manufactured by \'hulyttgsnk\'. The analysis has been conducted by zlujqhkjhm, Senior Sustainability Consultant, in strict adherence to the GHG Protocol. It covers the product\'s lifecycle from raw material acquisition to end-of-life, with a primary system boundary of \'factory_gate\' expanded to include use phase and end-of-life impacts. The geographic scope focuses on final production in China with a European-focused supply chain. This assessment incorporates the latest 2026 updates from the GHG Protocol, including the Land Sector and Removals (LSR) Standard and stringent Scope 3 compliance requirements, aiming for at least 95% coverage. The objective is to identify greenhouse gas (GHG) emission hotspots and provide a robust foundation for emission reduction strategies.</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The initial step in this Product Carbon Footprint (PCF) analysis is to clearly define the boundaries and parameters of the study, ensuring consistency and comparability of results.</w:t>
      </w:r>
    </w:p>
    <w:p>
      <w:pPr>
        <w:numPr>
          <w:ilvl w:val="0"/>
          <w:numId w:val="1001"/>
        </w:numPr>
        <w:pStyle w:val="Heading3"/>
      </w:pPr>
      <w:bookmarkStart w:id="23" w:name="functional-unit"/>
      <w:r>
        <w:t xml:space="preserve">Functional Unit:</w:t>
      </w:r>
      <w:bookmarkEnd w:id="23"/>
    </w:p>
    <w:p>
      <w:pPr>
        <w:numPr>
          <w:ilvl w:val="0"/>
          <w:numId w:val="1000"/>
        </w:numPr>
      </w:pPr>
      <w:r>
        <w:t xml:space="preserve">The functional unit for this analysis is defined as</w:t>
      </w:r>
      <w:r>
        <w:t xml:space="preserve"> </w:t>
      </w:r>
      <w:r>
        <w:rPr>
          <w:bCs/>
          <w:b/>
        </w:rPr>
        <w:t xml:space="preserve">1.0 unit of nywtnydyjy</w:t>
      </w:r>
      <w:r>
        <w:t xml:space="preserve">. This unit serves as the reference basis for all quantitative data and results presented in this report.</w:t>
      </w:r>
    </w:p>
    <w:p>
      <w:pPr>
        <w:numPr>
          <w:ilvl w:val="0"/>
          <w:numId w:val="1001"/>
        </w:numPr>
        <w:pStyle w:val="Heading3"/>
      </w:pPr>
      <w:bookmarkStart w:id="24" w:name="system-boundary"/>
      <w:r>
        <w:t xml:space="preserve">System Boundary:</w:t>
      </w:r>
      <w:bookmarkEnd w:id="24"/>
    </w:p>
    <w:p>
      <w:pPr>
        <w:numPr>
          <w:ilvl w:val="0"/>
          <w:numId w:val="1000"/>
        </w:numPr>
      </w:pPr>
      <w:r>
        <w:t xml:space="preserve">The primary system boundary for this PCF analysis is "cradle-to-gate", focusing on emissions up to the point when the product leaves the factory ("factory_gate"). However, to provide a more comprehensive understanding of the product\'s environmental impact across its full lifespan, this report extends the analysis to include the \'Use Phase\' and \'End-of-Life\' (EoL) scenarios, as explicitly requested. Emissions are categorized according to the GHG Protocol into Scope 1 (direct emissions from owned or controlled sources), Scope 2 (indirect emissions from the generation of purchased energy), and Scope 3 (all other indirect emissions that occur in the value chain of the reporting company).</w:t>
      </w:r>
    </w:p>
    <w:p>
      <w:pPr>
        <w:numPr>
          <w:ilvl w:val="0"/>
          <w:numId w:val="1001"/>
        </w:numPr>
        <w:pStyle w:val="Heading3"/>
      </w:pPr>
      <w:bookmarkStart w:id="25" w:name="geographic-scope"/>
      <w:r>
        <w:t xml:space="preserve">Geographic Scope:</w:t>
      </w:r>
      <w:bookmarkEnd w:id="25"/>
    </w:p>
    <w:p>
      <w:pPr>
        <w:numPr>
          <w:ilvl w:val="0"/>
          <w:numId w:val="1000"/>
        </w:numPr>
      </w:pPr>
      <w:r>
        <w:t xml:space="preserve">The geographic scope of this assessment includes:</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Heading3"/>
      </w:pPr>
      <w:bookmarkStart w:id="26" w:name="allocation"/>
      <w:r>
        <w:t xml:space="preserve">Allocation:</w:t>
      </w:r>
      <w:bookmarkEnd w:id="26"/>
    </w:p>
    <w:p>
      <w:pPr>
        <w:numPr>
          <w:ilvl w:val="0"/>
          <w:numId w:val="1000"/>
        </w:numPr>
      </w:pPr>
      <w:r>
        <w:t xml:space="preserve">Emissions are allocated to the functional unit based on mass allocation for multi-product processes where applicable.</w:t>
      </w:r>
    </w:p>
    <w:p>
      <w:pPr>
        <w:numPr>
          <w:ilvl w:val="0"/>
          <w:numId w:val="1001"/>
        </w:numPr>
        <w:pStyle w:val="Heading3"/>
      </w:pPr>
      <w:bookmarkStart w:id="27" w:name="accounting-standard"/>
      <w:r>
        <w:t xml:space="preserve">Accounting Standard:</w:t>
      </w:r>
      <w:bookmarkEnd w:id="27"/>
    </w:p>
    <w:p>
      <w:pPr>
        <w:numPr>
          <w:ilvl w:val="0"/>
          <w:numId w:val="1000"/>
        </w:numPr>
      </w:pPr>
      <w:r>
        <w:t xml:space="preserve">This PCF analysis strictly adheres to the</w:t>
      </w:r>
      <w:r>
        <w:t xml:space="preserve"> </w:t>
      </w:r>
      <w:r>
        <w:rPr>
          <w:bCs/>
          <w:b/>
        </w:rPr>
        <w:t xml:space="preserve">GHG Protocol Product Life Cycle Accounting and Reporting Standard</w:t>
      </w:r>
      <w:r>
        <w:t xml:space="preserve">. This standard provides a globally consistent approach to measure and manage product emissions, enabling better product design, increased efficiencies, cost reduction, and risk management.</w:t>
      </w:r>
    </w:p>
    <w:p>
      <w:r>
        <w:pict>
          <v:rect style="width:0;height:1.5pt" o:hralign="center" o:hrstd="t" o:hr="t"/>
        </w:pict>
      </w:r>
    </w:p>
    <w:bookmarkEnd w:id="28"/>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\'nywtnydyjy\' has been mapped into five distinct stages to systematically account for all relevant GHG emissions. Data collection involved a combination of primary data (where available or illustratively provided) and secondary data (industry-average emission factors).</w:t>
      </w:r>
    </w:p>
    <w:bookmarkStart w:id="29" w:name="Xa124a95b981c370289279a4b723120ad8e79cc2"/>
    <w:p>
      <w:pPr>
        <w:pStyle w:val="Heading3"/>
      </w:pPr>
      <w:r>
        <w:t xml:space="preserve">2.1. Materials Acquisition &amp; Pre-processing (Scope 3 - Upstream)</w:t>
      </w:r>
    </w:p>
    <w:p>
      <w:pPr>
        <w:pStyle w:val="FirstParagraph"/>
      </w:pPr>
      <w:r>
        <w:t xml:space="preserve">This stage includes the extraction, processing, and manufacturing of all raw materials and components used in \'nywtnydyjy\'. Based on the Detailed Bill of Materials (`uueiunfd`), the following key components are illustrative examples: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Casting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 (Illustrative)</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Polypropylene (PP)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 (Illustrative)</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 (Illustrative)</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 (Illustrative)</w:t>
            </w:r>
          </w:p>
        </w:tc>
        <w:tc>
          <w:tcPr/>
          <w:p>
            <w:pPr>
              <w:pStyle w:val="Compact"/>
              <w:jc w:val="left"/>
            </w:pPr>
            <w:r>
              <w:t xml:space="preserve">0.15</w:t>
            </w:r>
          </w:p>
        </w:tc>
      </w:tr>
      <w:tr>
        <w:tc>
          <w:tcPr/>
          <w:p>
            <w:pPr>
              <w:pStyle w:val="Compact"/>
              <w:jc w:val="left"/>
            </w:pPr>
            <w:r>
              <w:t xml:space="preserve">M005</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20.0 (Illustrative)</w:t>
            </w:r>
          </w:p>
        </w:tc>
        <w:tc>
          <w:tcPr/>
          <w:p>
            <w:pPr>
              <w:pStyle w:val="Compact"/>
              <w:jc w:val="left"/>
            </w:pPr>
            <w:r>
              <w:t xml:space="preserve">0.40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 (Illustrative)</w:t>
            </w:r>
          </w:p>
        </w:tc>
        <w:tc>
          <w:tcPr/>
          <w:p>
            <w:pPr>
              <w:pStyle w:val="Compact"/>
              <w:jc w:val="left"/>
            </w:pPr>
            <w:r>
              <w:t xml:space="preserve">0.24</w:t>
            </w:r>
          </w:p>
        </w:tc>
      </w:tr>
    </w:tbl>
    <w:p>
      <w:pPr>
        <w:pStyle w:val="BodyText"/>
      </w:pPr>
      <w:r>
        <w:t xml:space="preserve">*Note: The Emission Factor and Total Carbon values in the table above are illustrative, based on the placeholder Bill of Materials \'uueiunfd\', and represent typical industry averages from sources like Ecoinvent v3.9 and v3.12 for various sectors (metals, plastics, chemicals, electricity, manufacturing) for Europe and China. Actual values would require specific supplier data.*</w:t>
      </w:r>
    </w:p>
    <w:bookmarkEnd w:id="29"/>
    <w:bookmarkStart w:id="30" w:name="manufacturing-scope-1-2"/>
    <w:p>
      <w:pPr>
        <w:pStyle w:val="Heading3"/>
      </w:pPr>
      <w:r>
        <w:t xml:space="preserve">2.2. Manufacturing (Scope 1 &amp; 2)</w:t>
      </w:r>
    </w:p>
    <w:p>
      <w:pPr>
        <w:pStyle w:val="FirstParagraph"/>
      </w:pPr>
      <w:r>
        <w:t xml:space="preserve">This stage covers the energy consumption and direct emissions from the assembly and final production of \'nywtnydyjy\' in China.</w:t>
      </w:r>
    </w:p>
    <w:p>
      <w:pPr>
        <w:numPr>
          <w:ilvl w:val="0"/>
          <w:numId w:val="1003"/>
        </w:numPr>
        <w:pStyle w:val="Compact"/>
      </w:pPr>
      <w:r>
        <w:rPr>
          <w:bCs/>
          <w:b/>
        </w:rPr>
        <w:t xml:space="preserve">Energy Intensity (kWh/unit):</w:t>
      </w:r>
      <w:r>
        <w:t xml:space="preserve"> </w:t>
      </w:r>
      <w:r>
        <w:t xml:space="preserve">1.5 kWh/unit (Illustrative example for \'fpqkienhmp\')</w:t>
      </w:r>
    </w:p>
    <w:p>
      <w:pPr>
        <w:numPr>
          <w:ilvl w:val="0"/>
          <w:numId w:val="1003"/>
        </w:numPr>
        <w:pStyle w:val="Compact"/>
      </w:pPr>
      <w:r>
        <w:rPr>
          <w:bCs/>
          <w:b/>
        </w:rPr>
        <w:t xml:space="preserve">Renewable Energy Usage:</w:t>
      </w:r>
      <w:r>
        <w:t xml:space="preserve"> </w:t>
      </w:r>
      <w:r>
        <w:t xml:space="preserve">50% (Illustrative example for \'ehrqkhrjzj\')</w:t>
      </w:r>
    </w:p>
    <w:p>
      <w:pPr>
        <w:numPr>
          <w:ilvl w:val="0"/>
          <w:numId w:val="1003"/>
        </w:numPr>
        <w:pStyle w:val="Compact"/>
      </w:pPr>
      <w:r>
        <w:rPr>
          <w:bCs/>
          <w:b/>
        </w:rPr>
        <w:t xml:space="preserve">Grid Emission Factor (China):</w:t>
      </w:r>
      <w:r>
        <w:t xml:space="preserve"> </w:t>
      </w:r>
      <w:r>
        <w:t xml:space="preserve">0.6 kg CO2e/kWh (Illustrative, based on typical country-specific grid mixes).</w:t>
      </w:r>
    </w:p>
    <w:p>
      <w:pPr>
        <w:numPr>
          <w:ilvl w:val="0"/>
          <w:numId w:val="1003"/>
        </w:numPr>
        <w:pStyle w:val="Compact"/>
      </w:pPr>
      <w:r>
        <w:rPr>
          <w:bCs/>
          <w:b/>
        </w:rPr>
        <w:t xml:space="preserve">Direct Emissions (Scope 1):</w:t>
      </w:r>
      <w:r>
        <w:t xml:space="preserve"> </w:t>
      </w:r>
      <w:r>
        <w:t xml:space="preserve">Assuming minimal direct emissions from manufacturing processes not related to energy generation.</w:t>
      </w:r>
    </w:p>
    <w:bookmarkEnd w:id="30"/>
    <w:bookmarkStart w:id="31" w:name="transport-scope-3---upstream-downstream"/>
    <w:p>
      <w:pPr>
        <w:pStyle w:val="Heading3"/>
      </w:pPr>
      <w:r>
        <w:t xml:space="preserve">2.3. Transport (Scope 3 - Upstream &amp; Downstream)</w:t>
      </w:r>
    </w:p>
    <w:p>
      <w:pPr>
        <w:pStyle w:val="FirstParagraph"/>
      </w:pPr>
      <w:r>
        <w:t xml:space="preserve">Transportation of raw materials, components to the factory, and the finished product to distribution centers and customers.</w:t>
      </w:r>
    </w:p>
    <w:p>
      <w:pPr>
        <w:numPr>
          <w:ilvl w:val="0"/>
          <w:numId w:val="1004"/>
        </w:numPr>
        <w:pStyle w:val="Compact"/>
      </w:pPr>
      <w:r>
        <w:rPr>
          <w:bCs/>
          <w:b/>
        </w:rPr>
        <w:t xml:space="preserve">Transport Mode:</w:t>
      </w:r>
      <w:r>
        <w:t xml:space="preserve"> </w:t>
      </w:r>
      <w:r>
        <w:t xml:space="preserve">Truck (Illustrative example for \'Select Mode\')</w:t>
      </w:r>
    </w:p>
    <w:p>
      <w:pPr>
        <w:numPr>
          <w:ilvl w:val="0"/>
          <w:numId w:val="1004"/>
        </w:numPr>
        <w:pStyle w:val="Compact"/>
      </w:pPr>
      <w:r>
        <w:rPr>
          <w:bCs/>
          <w:b/>
        </w:rPr>
        <w:t xml:space="preserve">Transport Distance:</w:t>
      </w:r>
      <w:r>
        <w:t xml:space="preserve"> </w:t>
      </w:r>
      <w:r>
        <w:t xml:space="preserve">2,000 km (Illustrative example for \'wqvkygdmid\' for long-haul freight within Europe, and from China to Europe).</w:t>
      </w:r>
    </w:p>
    <w:p>
      <w:pPr>
        <w:numPr>
          <w:ilvl w:val="0"/>
          <w:numId w:val="1004"/>
        </w:numPr>
        <w:pStyle w:val="Compact"/>
      </w:pPr>
      <w:r>
        <w:rPr>
          <w:bCs/>
          <w:b/>
        </w:rPr>
        <w:t xml:space="preserve">Last-Mile Delivery Channel:</w:t>
      </w:r>
      <w:r>
        <w:t xml:space="preserve"> </w:t>
      </w:r>
      <w:r>
        <w:t xml:space="preserve">Parcel Service (Illustrative example for \'Delivery Type\').</w:t>
      </w:r>
    </w:p>
    <w:p>
      <w:pPr>
        <w:numPr>
          <w:ilvl w:val="0"/>
          <w:numId w:val="1004"/>
        </w:numPr>
        <w:pStyle w:val="Compact"/>
      </w:pPr>
      <w:r>
        <w:rPr>
          <w:bCs/>
          <w:b/>
        </w:rPr>
        <w:t xml:space="preserve">Emission Factors:</w:t>
      </w:r>
      <w:r>
        <w:t xml:space="preserve"> </w:t>
      </w:r>
      <w:r>
        <w:t xml:space="preserve">Industry-standard emission factors for road transport (e.g., from DEFRA conversion factors, which are updated annually to reflect scientific findings and operational data) and parcel delivery services are used.</w:t>
      </w:r>
    </w:p>
    <w:bookmarkEnd w:id="31"/>
    <w:bookmarkStart w:id="32" w:name="use-phase-scope-3---downstream"/>
    <w:p>
      <w:pPr>
        <w:pStyle w:val="Heading3"/>
      </w:pPr>
      <w:r>
        <w:t xml:space="preserve">2.4. Use Phase (Scope 3 - Downstream)</w:t>
      </w:r>
    </w:p>
    <w:p>
      <w:pPr>
        <w:pStyle w:val="FirstParagraph"/>
      </w:pPr>
      <w:r>
        <w:t xml:space="preserve">This stage accounts for the energy consumed by the product during its functional life.</w:t>
      </w:r>
    </w:p>
    <w:p>
      <w:pPr>
        <w:numPr>
          <w:ilvl w:val="0"/>
          <w:numId w:val="1005"/>
        </w:numPr>
        <w:pStyle w:val="Compact"/>
      </w:pPr>
      <w:r>
        <w:rPr>
          <w:bCs/>
          <w:b/>
        </w:rPr>
        <w:t xml:space="preserve">Product Lifespan:</w:t>
      </w:r>
      <w:r>
        <w:t xml:space="preserve"> </w:t>
      </w:r>
      <w:r>
        <w:t xml:space="preserve">5 years (Illustrative example for \'owzxwvmpjt\')</w:t>
      </w:r>
    </w:p>
    <w:p>
      <w:pPr>
        <w:numPr>
          <w:ilvl w:val="0"/>
          <w:numId w:val="1005"/>
        </w:numPr>
        <w:pStyle w:val="Compact"/>
      </w:pPr>
      <w:r>
        <w:rPr>
          <w:bCs/>
          <w:b/>
        </w:rPr>
        <w:t xml:space="preserve">Energy Consumption in Use:</w:t>
      </w:r>
      <w:r>
        <w:t xml:space="preserve"> </w:t>
      </w:r>
      <w:r>
        <w:t xml:space="preserve">10 kWh/year (Illustrative example for \'roqydhkmvp\')</w:t>
      </w:r>
    </w:p>
    <w:p>
      <w:pPr>
        <w:numPr>
          <w:ilvl w:val="0"/>
          <w:numId w:val="1005"/>
        </w:numPr>
        <w:pStyle w:val="Compact"/>
      </w:pPr>
      <w:r>
        <w:rPr>
          <w:bCs/>
          <w:b/>
        </w:rPr>
        <w:t xml:space="preserve">Grid Emission Factor (Consumer Location - Europe Focused):</w:t>
      </w:r>
      <w:r>
        <w:t xml:space="preserve"> </w:t>
      </w:r>
      <w:r>
        <w:t xml:space="preserve">0.25 kg CO2e/kWh (Illustrative average for European grid mix).</w:t>
      </w:r>
    </w:p>
    <w:bookmarkEnd w:id="32"/>
    <w:bookmarkStart w:id="33" w:name="end-of-life-eol-scope-3---downstream"/>
    <w:p>
      <w:pPr>
        <w:pStyle w:val="Heading3"/>
      </w:pPr>
      <w:r>
        <w:t xml:space="preserve">2.5. End-of-Life (EoL) (Scope 3 - Downstream)</w:t>
      </w:r>
    </w:p>
    <w:p>
      <w:pPr>
        <w:pStyle w:val="FirstParagraph"/>
      </w:pPr>
      <w:r>
        <w:t xml:space="preserve">This stage considers the disposal, recycling, or recovery of the product at the end of its life.</w:t>
      </w:r>
    </w:p>
    <w:p>
      <w:pPr>
        <w:numPr>
          <w:ilvl w:val="0"/>
          <w:numId w:val="1006"/>
        </w:numPr>
        <w:pStyle w:val="Compact"/>
      </w:pPr>
      <w:r>
        <w:rPr>
          <w:bCs/>
          <w:b/>
        </w:rPr>
        <w:t xml:space="preserve">Recyclability Percentage:</w:t>
      </w:r>
      <w:r>
        <w:t xml:space="preserve"> </w:t>
      </w:r>
      <w:r>
        <w:t xml:space="preserve">70% (Illustrative example for \'diltrdkgup\'). This implies 70% of the product\'s mass is recycled, with associated emissions/credits, and 30% goes to landfill or incineration.</w:t>
      </w:r>
    </w:p>
    <w:p>
      <w:pPr>
        <w:numPr>
          <w:ilvl w:val="0"/>
          <w:numId w:val="1006"/>
        </w:numPr>
        <w:pStyle w:val="Compact"/>
      </w:pPr>
      <w:r>
        <w:rPr>
          <w:bCs/>
          <w:b/>
        </w:rPr>
        <w:t xml:space="preserve">Circular/Take-back Programs:</w:t>
      </w:r>
      <w:r>
        <w:t xml:space="preserve"> </w:t>
      </w:r>
      <w:r>
        <w:t xml:space="preserve">A basic take-back scheme is in place (Illustrative example for \'nfeeynvjtr\'), aiming to recover materials for recycling or proper disposal, thus influencing the effective recyclability percentage and reducing landfill impact.</w:t>
      </w:r>
    </w:p>
    <w:p>
      <w:pPr>
        <w:numPr>
          <w:ilvl w:val="0"/>
          <w:numId w:val="1006"/>
        </w:numPr>
        <w:pStyle w:val="Compact"/>
      </w:pPr>
      <w:r>
        <w:rPr>
          <w:bCs/>
          <w:b/>
        </w:rPr>
        <w:t xml:space="preserve">EoL Emission Factors:</w:t>
      </w:r>
      <w:r>
        <w:t xml:space="preserve"> </w:t>
      </w:r>
      <w:r>
        <w:t xml:space="preserve">Standard factors for recycling processes, incineration, and landfill are applied based on material type.</w:t>
      </w:r>
    </w:p>
    <w:p>
      <w:r>
        <w:pict>
          <v:rect style="width:0;height:1.5pt" o:hralign="center" o:hrstd="t" o:hr="t"/>
        </w:pict>
      </w:r>
    </w:p>
    <w:bookmarkEnd w:id="33"/>
    <w:bookmarkEnd w:id="34"/>
    <w:bookmarkStart w:id="38" w:name="Xb404f6bea4a0013006ec7a9103609d9ea6643c1"/>
    <w:p>
      <w:pPr>
        <w:pStyle w:val="Heading2"/>
      </w:pPr>
      <w:r>
        <w:t xml:space="preserve">4. Calculate Emissions (Activity * Emission Factor = CO2e)</w:t>
      </w:r>
    </w:p>
    <w:p>
      <w:pPr>
        <w:pStyle w:val="FirstParagraph"/>
      </w:pPr>
      <w:r>
        <w:t xml:space="preserve">Emissions for each lifecycle stage are calculated by multiplying the activity data by appropriate emission factors, expressed in kg CO2 equivalent (CO2e). Industry-standard emission factors from databases such as Ecoinvent and DEFRA have been utilized.</w:t>
      </w:r>
    </w:p>
    <w:bookmarkStart w:id="35" w:name="total-carbon-footprint-illustrative"/>
    <w:p>
      <w:pPr>
        <w:pStyle w:val="Heading3"/>
      </w:pPr>
      <w:r>
        <w:t xml:space="preserve">4.1. Total Carbon Footprint (Illustrative)</w:t>
      </w:r>
    </w:p>
    <w:p>
      <w:pPr>
        <w:pStyle w:val="FirstParagraph"/>
      </w:pPr>
      <w:r>
        <w:t xml:space="preserve">Based on the illustrative data and emission factors, the estimated Product Carbon Footprint for one unit of \'nywtnydyjy\' is as follows: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 (Illustrative)</w:t>
            </w:r>
          </w:p>
        </w:tc>
        <w:tc>
          <w:tcPr/>
          <w:p>
            <w:pPr>
              <w:pStyle w:val="Compact"/>
              <w:jc w:val="left"/>
            </w:pPr>
            <w:r>
              <w:t xml:space="preserve">Emission Factor (Illustrative)</w:t>
            </w:r>
          </w:p>
        </w:tc>
        <w:tc>
          <w:tcPr/>
          <w:p>
            <w:pPr>
              <w:pStyle w:val="Compact"/>
              <w:jc w:val="left"/>
            </w:pPr>
            <w:r>
              <w:t xml:space="preserve">Total CO2e (kg)</w:t>
            </w:r>
          </w:p>
        </w:tc>
        <w:tc>
          <w:tcPr/>
          <w:p>
            <w:pPr>
              <w:pStyle w:val="Compact"/>
              <w:jc w:val="left"/>
            </w:pPr>
            <w:r>
              <w:t xml:space="preserve">GHG Scope</w:t>
            </w:r>
          </w:p>
        </w:tc>
      </w:tr>
      <w:tr>
        <w:tc>
          <w:tcPr/>
          <w:p>
            <w:pPr>
              <w:pStyle w:val="Compact"/>
              <w:jc w:val="left"/>
            </w:pPr>
            <w:r>
              <w:rPr>
                <w:bCs/>
                <w:b/>
              </w:rPr>
              <w:t xml:space="preserve">Materials Acquisition &amp; Pre-processing</w:t>
            </w:r>
          </w:p>
        </w:tc>
        <w:tc>
          <w:tcPr/>
          <w:p>
            <w:pPr>
              <w:pStyle w:val="Compact"/>
              <w:jc w:val="left"/>
            </w:pPr>
            <w:r>
              <w:t xml:space="preserve">Sum of BOM materials</w:t>
            </w:r>
          </w:p>
        </w:tc>
        <w:tc>
          <w:tcPr/>
          <w:p>
            <w:pPr>
              <w:pStyle w:val="Compact"/>
              <w:jc w:val="left"/>
            </w:pPr>
            <w:r>
              <w:t xml:space="preserve">Varies per material</w:t>
            </w:r>
          </w:p>
        </w:tc>
        <w:tc>
          <w:tcPr/>
          <w:p>
            <w:pPr>
              <w:pStyle w:val="Compact"/>
              <w:jc w:val="left"/>
            </w:pPr>
            <w:r>
              <w:t xml:space="preserve">6.54</w:t>
            </w:r>
          </w:p>
        </w:tc>
        <w:tc>
          <w:tcPr/>
          <w:p>
            <w:pPr>
              <w:pStyle w:val="Compact"/>
              <w:jc w:val="left"/>
            </w:pPr>
            <w:r>
              <w:t xml:space="preserve">Scope 3 (Category 1: Purchased goods and services)</w:t>
            </w:r>
          </w:p>
        </w:tc>
      </w:tr>
      <w:tr>
        <w:tc>
          <w:tcPr/>
          <w:p>
            <w:pPr>
              <w:pStyle w:val="Compact"/>
              <w:jc w:val="left"/>
            </w:pPr>
            <w:r>
              <w:rPr>
                <w:bCs/>
                <w:b/>
              </w:rPr>
              <w:t xml:space="preserve">Manufacturing (Production Energy)</w:t>
            </w:r>
          </w:p>
        </w:tc>
        <w:tc>
          <w:tcPr/>
          <w:p>
            <w:pPr>
              <w:pStyle w:val="Compact"/>
              <w:jc w:val="left"/>
            </w:pPr>
            <w:r>
              <w:t xml:space="preserve">1.5 kWh/unit</w:t>
            </w:r>
          </w:p>
        </w:tc>
        <w:tc>
          <w:tcPr/>
          <w:p>
            <w:pPr>
              <w:pStyle w:val="Compact"/>
              <w:jc w:val="left"/>
            </w:pPr>
            <w:r>
              <w:t xml:space="preserve">0.6 kg CO2e/kWh (China grid, 50% renewable offset)</w:t>
            </w:r>
          </w:p>
        </w:tc>
        <w:tc>
          <w:tcPr/>
          <w:p>
            <w:pPr>
              <w:pStyle w:val="Compact"/>
              <w:jc w:val="left"/>
            </w:pPr>
            <w:r>
              <w:t xml:space="preserve">0.45</w:t>
            </w:r>
          </w:p>
        </w:tc>
        <w:tc>
          <w:tcPr/>
          <w:p>
            <w:pPr>
              <w:pStyle w:val="Compact"/>
              <w:jc w:val="left"/>
            </w:pPr>
            <w:r>
              <w:t xml:space="preserve">Scope 2 (Purchased electricity)</w:t>
            </w:r>
          </w:p>
        </w:tc>
      </w:tr>
      <w:tr>
        <w:tc>
          <w:tcPr/>
          <w:p>
            <w:pPr>
              <w:pStyle w:val="Compact"/>
              <w:jc w:val="left"/>
            </w:pPr>
            <w:r>
              <w:rPr>
                <w:bCs/>
                <w:b/>
              </w:rPr>
              <w:t xml:space="preserve">Transport (Upstream &amp; Downstream)</w:t>
            </w:r>
          </w:p>
        </w:tc>
        <w:tc>
          <w:tcPr/>
          <w:p>
            <w:pPr>
              <w:pStyle w:val="Compact"/>
              <w:jc w:val="left"/>
            </w:pPr>
            <w:r>
              <w:t xml:space="preserve">2000 km freight (Illustrative)</w:t>
            </w:r>
          </w:p>
        </w:tc>
        <w:tc>
          <w:tcPr/>
          <w:p>
            <w:pPr>
              <w:pStyle w:val="Compact"/>
              <w:jc w:val="left"/>
            </w:pPr>
            <w:r>
              <w:t xml:space="preserve">0.1 kg CO2e/km-tonne (avg. truck)</w:t>
            </w:r>
          </w:p>
        </w:tc>
        <w:tc>
          <w:tcPr/>
          <w:p>
            <w:pPr>
              <w:pStyle w:val="Compact"/>
              <w:jc w:val="left"/>
            </w:pPr>
            <w:r>
              <w:t xml:space="preserve">2.00</w:t>
            </w:r>
          </w:p>
        </w:tc>
        <w:tc>
          <w:tcPr/>
          <w:p>
            <w:pPr>
              <w:pStyle w:val="Compact"/>
              <w:jc w:val="left"/>
            </w:pPr>
            <w:r>
              <w:t xml:space="preserve">Scope 3 (Categories 4 &amp; 9: Upstream/Downstream transportation)</w:t>
            </w:r>
          </w:p>
        </w:tc>
      </w:tr>
      <w:tr>
        <w:tc>
          <w:tcPr/>
          <w:p>
            <w:pPr>
              <w:pStyle w:val="Compact"/>
              <w:jc w:val="left"/>
            </w:pPr>
            <w:r>
              <w:rPr>
                <w:bCs/>
                <w:b/>
              </w:rPr>
              <w:t xml:space="preserve">Use Phase</w:t>
            </w:r>
          </w:p>
        </w:tc>
        <w:tc>
          <w:tcPr/>
          <w:p>
            <w:pPr>
              <w:pStyle w:val="Compact"/>
              <w:jc w:val="left"/>
            </w:pPr>
            <w:r>
              <w:t xml:space="preserve">10 kWh/year * 5 years</w:t>
            </w:r>
          </w:p>
        </w:tc>
        <w:tc>
          <w:tcPr/>
          <w:p>
            <w:pPr>
              <w:pStyle w:val="Compact"/>
              <w:jc w:val="left"/>
            </w:pPr>
            <w:r>
              <w:t xml:space="preserve">0.25 kg CO2e/kWh (Europe grid)</w:t>
            </w:r>
          </w:p>
        </w:tc>
        <w:tc>
          <w:tcPr/>
          <w:p>
            <w:pPr>
              <w:pStyle w:val="Compact"/>
              <w:jc w:val="left"/>
            </w:pPr>
            <w:r>
              <w:t xml:space="preserve">12.50</w:t>
            </w:r>
          </w:p>
        </w:tc>
        <w:tc>
          <w:tcPr/>
          <w:p>
            <w:pPr>
              <w:pStyle w:val="Compact"/>
              <w:jc w:val="left"/>
            </w:pPr>
            <w:r>
              <w:t xml:space="preserve">Scope 3 (Category 11: Use of sold products)</w:t>
            </w:r>
          </w:p>
        </w:tc>
      </w:tr>
      <w:tr>
        <w:tc>
          <w:tcPr/>
          <w:p>
            <w:pPr>
              <w:pStyle w:val="Compact"/>
              <w:jc w:val="left"/>
            </w:pPr>
            <w:r>
              <w:rPr>
                <w:bCs/>
                <w:b/>
              </w:rPr>
              <w:t xml:space="preserve">End-of-Life (EoL)</w:t>
            </w:r>
          </w:p>
        </w:tc>
        <w:tc>
          <w:tcPr/>
          <w:p>
            <w:pPr>
              <w:pStyle w:val="Compact"/>
              <w:jc w:val="left"/>
            </w:pPr>
            <w:r>
              <w:t xml:space="preserve">0.7 kg product (70% recycled, 30% landfill/incin.)</w:t>
            </w:r>
          </w:p>
        </w:tc>
        <w:tc>
          <w:tcPr/>
          <w:p>
            <w:pPr>
              <w:pStyle w:val="Compact"/>
              <w:jc w:val="left"/>
            </w:pPr>
            <w:r>
              <w:t xml:space="preserve">Varies by EoL scenario</w:t>
            </w:r>
          </w:p>
        </w:tc>
        <w:tc>
          <w:tcPr/>
          <w:p>
            <w:pPr>
              <w:pStyle w:val="Compact"/>
              <w:jc w:val="left"/>
            </w:pPr>
            <w:r>
              <w:t xml:space="preserve">-0.50 (Net credit from recycling illustrative)</w:t>
            </w:r>
          </w:p>
        </w:tc>
        <w:tc>
          <w:tcPr/>
          <w:p>
            <w:pPr>
              <w:pStyle w:val="Compact"/>
              <w:jc w:val="left"/>
            </w:pPr>
            <w:r>
              <w:t xml:space="preserve">Scope 3 (Category 12: End-of-life treatment of sold products)</w:t>
            </w:r>
          </w:p>
        </w:tc>
      </w:tr>
    </w:tbl>
    <w:p>
      <w:pPr>
        <w:pStyle w:val="BodyText"/>
      </w:pPr>
      <w:r>
        <w:rPr>
          <w:bCs/>
          <w:b/>
        </w:rPr>
        <w:t xml:space="preserve">Estimated Total Product Carbon Footprint: 20.99 kg CO2e per unit of nywtnydyjy</w:t>
      </w:r>
    </w:p>
    <w:bookmarkEnd w:id="35"/>
    <w:bookmarkStart w:id="36" w:name="X659839d91fd99b9c1312e5baaf931415fce1a8c"/>
    <w:p>
      <w:pPr>
        <w:pStyle w:val="Heading3"/>
      </w:pPr>
      <w:r>
        <w:t xml:space="preserve">4.2. Adherence to GHG Protocol &amp; 2026 LSR Update</w:t>
      </w:r>
    </w:p>
    <w:p>
      <w:pPr>
        <w:pStyle w:val="FirstParagraph"/>
      </w:pPr>
      <w:r>
        <w:t xml:space="preserve">The analysis strictly adheres to the GHG Protocol. Emissions are categorized into:</w:t>
      </w:r>
    </w:p>
    <w:p>
      <w:pPr>
        <w:numPr>
          <w:ilvl w:val="0"/>
          <w:numId w:val="1007"/>
        </w:numPr>
        <w:pStyle w:val="Compact"/>
      </w:pPr>
      <w:r>
        <w:rPr>
          <w:bCs/>
          <w:b/>
        </w:rPr>
        <w:t xml:space="preserve">Scope 1:</w:t>
      </w:r>
      <w:r>
        <w:t xml:space="preserve"> </w:t>
      </w:r>
      <w:r>
        <w:t xml:space="preserve">Direct emissions (e.g., from owned boilers) – assumed minimal for this product\'s manufacturing based on provided parameters.</w:t>
      </w:r>
    </w:p>
    <w:p>
      <w:pPr>
        <w:numPr>
          <w:ilvl w:val="0"/>
          <w:numId w:val="1007"/>
        </w:numPr>
        <w:pStyle w:val="Compact"/>
      </w:pPr>
      <w:r>
        <w:rPr>
          <w:bCs/>
          <w:b/>
        </w:rPr>
        <w:t xml:space="preserve">Scope 2:</w:t>
      </w:r>
      <w:r>
        <w:t xml:space="preserve"> </w:t>
      </w:r>
      <w:r>
        <w:t xml:space="preserve">Indirect emissions from purchased electricity for manufacturing.</w:t>
      </w:r>
    </w:p>
    <w:p>
      <w:pPr>
        <w:numPr>
          <w:ilvl w:val="0"/>
          <w:numId w:val="1007"/>
        </w:numPr>
        <w:pStyle w:val="Compact"/>
      </w:pPr>
      <w:r>
        <w:rPr>
          <w:bCs/>
          <w:b/>
        </w:rPr>
        <w:t xml:space="preserve">Scope 3:</w:t>
      </w:r>
      <w:r>
        <w:t xml:space="preserve"> </w:t>
      </w:r>
      <w:r>
        <w:t xml:space="preserve">All other indirect emissions across the value chain, including materials, transportation (upstream and downstream), use phase, and end-of-life.</w:t>
      </w:r>
    </w:p>
    <w:p>
      <w:pPr>
        <w:pStyle w:val="FirstParagraph"/>
      </w:pPr>
      <w:r>
        <w:t xml:space="preserve">The</w:t>
      </w:r>
      <w:r>
        <w:t xml:space="preserve"> </w:t>
      </w:r>
      <w:r>
        <w:rPr>
          <w:bCs/>
          <w:b/>
        </w:rPr>
        <w:t xml:space="preserve">2026 Land Sector and Removals (LSR) Standard</w:t>
      </w:r>
      <w:r>
        <w:t xml:space="preserve"> </w:t>
      </w:r>
      <w:r>
        <w:t xml:space="preserve">has been applied where relevant to account for land use and carbon removals. This new standard, effective January 1, 2027, provides a framework for entities with significant land sector activities and those reporting CO2 removals or capture. While direct land-use change impacts were not explicitly provided in the product\'s BOM, the LSR standard\'s principles inform the accounting for any biogenic carbon (e.g., in packaging) and potential removal credits from recycling, where applicable. The accompanying guidance for the LSR Standard is expected in Q2 2026, which will offer more practical direction. Forest carbon accounting is not included in this version of the LSR Standard.</w:t>
      </w:r>
    </w:p>
    <w:bookmarkEnd w:id="36"/>
    <w:bookmarkStart w:id="37" w:name="scope-3-compliance-2026-requirements"/>
    <w:p>
      <w:pPr>
        <w:pStyle w:val="Heading3"/>
      </w:pPr>
      <w:r>
        <w:t xml:space="preserve">4.3. Scope 3 Compliance (2026 Requirements)</w:t>
      </w:r>
    </w:p>
    <w:p>
      <w:pPr>
        <w:pStyle w:val="FirstParagraph"/>
      </w:pPr>
      <w:r>
        <w:t xml:space="preserve">The GHG Protocol\'s 2026 updates introduce more stringent requirements for Scope 3 reporting. This analysis aims for at least</w:t>
      </w:r>
      <w:r>
        <w:t xml:space="preserve"> </w:t>
      </w:r>
      <w:r>
        <w:rPr>
          <w:bCs/>
          <w:b/>
        </w:rPr>
        <w:t xml:space="preserve">95% coverage for total relevant Scope 3 emissions</w:t>
      </w:r>
      <w:r>
        <w:t xml:space="preserve"> </w:t>
      </w:r>
      <w:r>
        <w:t xml:space="preserve">to claim conformance, eliminating selective disclosure. This is achieved by including all significant upstream (materials, upstream transport) and downstream (downstream transport, use phase, EoL) categories. Future reporting will require mandatory data disaggregation by source type (primary vs. secondary) to highlight data quality.</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The review of this PCF analysis highlights key emission hotspots and discusses the reliability of the findings.</w:t>
      </w:r>
    </w:p>
    <w:p>
      <w:pPr>
        <w:numPr>
          <w:ilvl w:val="0"/>
          <w:numId w:val="1008"/>
        </w:numPr>
        <w:pStyle w:val="Heading3"/>
      </w:pPr>
      <w:bookmarkStart w:id="39" w:name="emission-hotspots"/>
      <w:r>
        <w:t xml:space="preserve">Emission Hotspots:</w:t>
      </w:r>
      <w:bookmarkEnd w:id="39"/>
    </w:p>
    <w:p>
      <w:pPr>
        <w:numPr>
          <w:ilvl w:val="0"/>
          <w:numId w:val="1000"/>
        </w:numPr>
      </w:pPr>
      <w:r>
        <w:t xml:space="preserve">The illustrative calculations indicate that the</w:t>
      </w:r>
      <w:r>
        <w:t xml:space="preserve"> </w:t>
      </w:r>
      <w:r>
        <w:rPr>
          <w:bCs/>
          <w:b/>
        </w:rPr>
        <w:t xml:space="preserve">Use Phase</w:t>
      </w:r>
      <w:r>
        <w:t xml:space="preserve"> </w:t>
      </w:r>
      <w:r>
        <w:t xml:space="preserve">(59.5%) and</w:t>
      </w:r>
      <w:r>
        <w:t xml:space="preserve"> </w:t>
      </w:r>
      <w:r>
        <w:rPr>
          <w:bCs/>
          <w:b/>
        </w:rPr>
        <w:t xml:space="preserve">Materials Acquisition &amp; Pre-processing</w:t>
      </w:r>
      <w:r>
        <w:t xml:space="preserve"> </w:t>
      </w:r>
      <w:r>
        <w:t xml:space="preserve">(31.2%) are the most significant contributors to the overall carbon footprint of \'nywtnydyjy\'. This suggests that efforts to improve energy efficiency during product usage and to source lower-carbon materials will yield the greatest emission reductions.</w:t>
      </w:r>
    </w:p>
    <w:p>
      <w:pPr>
        <w:numPr>
          <w:ilvl w:val="0"/>
          <w:numId w:val="1008"/>
        </w:numPr>
        <w:pStyle w:val="Heading3"/>
      </w:pPr>
      <w:bookmarkStart w:id="40" w:name="reliability"/>
      <w:r>
        <w:t xml:space="preserve">Reliability:</w:t>
      </w:r>
      <w:bookmarkEnd w:id="40"/>
    </w:p>
    <w:p>
      <w:pPr>
        <w:numPr>
          <w:ilvl w:val="0"/>
          <w:numId w:val="1000"/>
        </w:numPr>
      </w:pPr>
      <w:r>
        <w:t xml:space="preserve">The reliability of this report is directly influenced by the quality of input data. While industry-standard emission factors from reputable sources like Ecoinvent and DEFRA have been used, the reliance on illustrative data for several parameters (BOM, transport distance, energy usage, etc.) due to placeholder inputs means that these results should be considered indicative. For higher accuracy, primary data specific to hulyttgsnk\'s operations and supply chain would be required. The GHG Protocol emphasizes a shift towards primary data for improved data quality and transparency.</w:t>
      </w:r>
    </w:p>
    <w:p>
      <w:pPr>
        <w:numPr>
          <w:ilvl w:val="0"/>
          <w:numId w:val="1008"/>
        </w:numPr>
        <w:pStyle w:val="Heading3"/>
      </w:pPr>
      <w:bookmarkStart w:id="41" w:name="recommendations"/>
      <w:r>
        <w:t xml:space="preserve">Recommendations:</w:t>
      </w:r>
      <w:bookmarkEnd w:id="41"/>
    </w:p>
    <w:p>
      <w:pPr>
        <w:numPr>
          <w:ilvl w:val="1"/>
          <w:numId w:val="1009"/>
        </w:numPr>
        <w:pStyle w:val="Compact"/>
      </w:pPr>
      <w:r>
        <w:rPr>
          <w:bCs/>
          <w:b/>
        </w:rPr>
        <w:t xml:space="preserve">Material Optimization:</w:t>
      </w:r>
      <w:r>
        <w:t xml:space="preserve"> </w:t>
      </w:r>
      <w:r>
        <w:t xml:space="preserve">Investigate alternative materials with lower embodied carbon, focusing on high-impact components identified in the BOM.</w:t>
      </w:r>
    </w:p>
    <w:p>
      <w:pPr>
        <w:numPr>
          <w:ilvl w:val="1"/>
          <w:numId w:val="1009"/>
        </w:numPr>
        <w:pStyle w:val="Compact"/>
      </w:pPr>
      <w:r>
        <w:rPr>
          <w:bCs/>
          <w:b/>
        </w:rPr>
        <w:t xml:space="preserve">Energy Efficiency:</w:t>
      </w:r>
      <w:r>
        <w:t xml:space="preserve"> </w:t>
      </w:r>
      <w:r>
        <w:t xml:space="preserve">Focus on reducing energy consumption during the product\'s use phase through design improvements.</w:t>
      </w:r>
    </w:p>
    <w:p>
      <w:pPr>
        <w:numPr>
          <w:ilvl w:val="1"/>
          <w:numId w:val="1009"/>
        </w:numPr>
        <w:pStyle w:val="Compact"/>
      </w:pPr>
      <w:r>
        <w:rPr>
          <w:bCs/>
          <w:b/>
        </w:rPr>
        <w:t xml:space="preserve">Renewable Energy Integration:</w:t>
      </w:r>
      <w:r>
        <w:t xml:space="preserve"> </w:t>
      </w:r>
      <w:r>
        <w:t xml:space="preserve">Increase the percentage of renewable energy used in manufacturing facilities and encourage suppliers to do the same.</w:t>
      </w:r>
    </w:p>
    <w:p>
      <w:pPr>
        <w:numPr>
          <w:ilvl w:val="1"/>
          <w:numId w:val="1009"/>
        </w:numPr>
        <w:pStyle w:val="Compact"/>
      </w:pPr>
      <w:r>
        <w:rPr>
          <w:bCs/>
          <w:b/>
        </w:rPr>
        <w:t xml:space="preserve">Logistics Optimization:</w:t>
      </w:r>
      <w:r>
        <w:t xml:space="preserve"> </w:t>
      </w:r>
      <w:r>
        <w:t xml:space="preserve">Explore more efficient transportation modes, optimize routes, and consolidate shipments to reduce transport emissions.</w:t>
      </w:r>
    </w:p>
    <w:p>
      <w:pPr>
        <w:numPr>
          <w:ilvl w:val="1"/>
          <w:numId w:val="1009"/>
        </w:numPr>
        <w:pStyle w:val="Compact"/>
      </w:pPr>
      <w:r>
        <w:rPr>
          <w:bCs/>
          <w:b/>
        </w:rPr>
        <w:t xml:space="preserve">Circular Economy Initiatives:</w:t>
      </w:r>
      <w:r>
        <w:t xml:space="preserve"> </w:t>
      </w:r>
      <w:r>
        <w:t xml:space="preserve">Expand and promote take-back and recycling programs to maximize material recovery and minimize end-of-life impacts.</w:t>
      </w:r>
    </w:p>
    <w:p>
      <w:r>
        <w:pict>
          <v:rect style="width:0;height:1.5pt" o:hralign="center" o:hrstd="t" o:hr="t"/>
        </w:pict>
      </w:r>
    </w:p>
    <w:p>
      <w:pPr>
        <w:pStyle w:val="FirstParagraph"/>
      </w:pPr>
      <w:r>
        <w:t xml:space="preserve">Confidential - Internal Use Only</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nywtnydyjy</dc:title>
  <dc:creator/>
  <dc:description>Detailed Product Carbon Footprint (PCF) analysis report for nywtnydyjy, adhering to GHG Protocol standards and 2026 updates, prepared by Senior Sustainability Consultant zlujqhkjhm for hulyttgsnk.</dc:description>
  <dc:language>en</dc:language>
  <cp:keywords/>
  <dcterms:created xsi:type="dcterms:W3CDTF">2026-05-30T19:21:05Z</dcterms:created>
  <dcterms:modified xsi:type="dcterms:W3CDTF">2026-05-30T19:21:05Z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