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ntdggjoluf</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product-ntdggjoluf"/>
    <w:p>
      <w:pPr>
        <w:pStyle w:val="Heading1"/>
      </w:pPr>
      <w:r>
        <w:t xml:space="preserve">Product: ntdggjoluf</w:t>
      </w:r>
    </w:p>
    <w:p>
      <w:pPr>
        <w:pStyle w:val="FirstParagraph"/>
      </w:pPr>
      <w:r>
        <w:t xml:space="preserve">**Protocol Data (Accounting Standard):** GHG Protocol</w:t>
      </w:r>
    </w:p>
    <w:p>
      <w:pPr>
        <w:pStyle w:val="BodyText"/>
      </w:pPr>
      <w:r>
        <w:t xml:space="preserve">**Name of the Company:** lmfhtndnin</w:t>
      </w:r>
    </w:p>
    <w:p>
      <w:pPr>
        <w:pStyle w:val="BodyText"/>
      </w:pPr>
      <w:r>
        <w:t xml:space="preserve">**Senior Sustainability Consultant:** hvjvnuhgyd</w:t>
      </w:r>
    </w:p>
    <w:p>
      <w:pPr>
        <w:pStyle w:val="BodyText"/>
      </w:pPr>
      <w:r>
        <w:t xml:space="preserve">Disclaimer: This report is generated based on available data and industry standards. While efforts have been made to ensure accuracy using provided parameters and representative emission factors, actual impacts may vary based on specific operational details and evolving data. Placeholder values have been used for generic input strings where specific parseable data was not provided.</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ntdggjoluf</w:t>
      </w:r>
    </w:p>
    <w:p>
      <w:pPr>
        <w:pStyle w:val="BodyText"/>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ntdggjoluf</w:t>
      </w:r>
      <w:r>
        <w:t xml:space="preserve">, manufactured by</w:t>
      </w:r>
      <w:r>
        <w:t xml:space="preserve"> </w:t>
      </w:r>
      <w:r>
        <w:rPr>
          <w:bCs/>
          <w:b/>
        </w:rPr>
        <w:t xml:space="preserve">lmfhtndnin</w:t>
      </w:r>
      <w:r>
        <w:t xml:space="preserve">. Prepared by</w:t>
      </w:r>
      <w:r>
        <w:t xml:space="preserve"> </w:t>
      </w:r>
      <w:r>
        <w:rPr>
          <w:bCs/>
          <w:b/>
        </w:rPr>
        <w:t xml:space="preserve">hvjvnuhgyd</w:t>
      </w:r>
      <w:r>
        <w:t xml:space="preserve">, Senior Sustainability Consultant specializing in GHG Protocol, this analysis adheres to the GHG Protocol Product Life Cycle Accounting and Reporting Standard. The study employs a methodology encompassing scope definition, lifecycle mapping, data collection, emissions calculation, and review, providing a comprehensive understanding of the product\'s environmental impact across its lifecycle. The Land Sector and Removals (LSR) Standard (2026 update) has been considered, and robust Scope 3 compliance is ensured to meet the 2026 reporting requirements for at least 95% coverage.</w:t>
      </w:r>
    </w:p>
    <w:p>
      <w:r>
        <w:pict>
          <v:rect style="width:0;height:1.5pt" o:hralign="center" o:hrstd="t" o:hr="t"/>
        </w:pict>
      </w:r>
    </w:p>
    <w:bookmarkEnd w:id="23"/>
    <w:bookmarkStart w:id="41" w:name="methodology"/>
    <w:p>
      <w:pPr>
        <w:pStyle w:val="Heading2"/>
      </w:pPr>
      <w:r>
        <w:t xml:space="preserve">Methodology</w:t>
      </w:r>
    </w:p>
    <w:p>
      <w:pPr>
        <w:pStyle w:val="FirstParagraph"/>
      </w:pPr>
      <w:r>
        <w:t xml:space="preserve">The Product Carbon Footprint (PCF) analysis for ntdggjoluf follows a structured methodology in line with the GHG Protocol Product Life Cycle Accounting and Reporting Standard. This systematic approach ensures comprehensive and accurate quantification of greenhouse gas (GHG) emissions associated with the product\'s lifecycle.</w:t>
      </w:r>
    </w:p>
    <w:bookmarkStart w:id="24"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reference flow for this analysis is 1.0 unit of ntdggjoluf. This unit serves as the basis for all quantified inputs and outputs.</w:t>
      </w:r>
    </w:p>
    <w:p>
      <w:pPr>
        <w:numPr>
          <w:ilvl w:val="0"/>
          <w:numId w:val="1001"/>
        </w:numPr>
        <w:pStyle w:val="Compact"/>
      </w:pPr>
      <w:r>
        <w:rPr>
          <w:bCs/>
          <w:b/>
        </w:rPr>
        <w:t xml:space="preserve">System Boundary:</w:t>
      </w:r>
      <w:r>
        <w:t xml:space="preserve"> </w:t>
      </w:r>
      <w:r>
        <w:t xml:space="preserve">While the primary system boundary for the product\'s manufacturing is defined as \'factory_gate\' (cradle-to-gate), the analysis has been expanded to a \'cradle-to-grave\' approach to incorporate the Use Phase and End-of-Life scenarios as specifically requested by the parameters. This allows for a holistic view of the product\'s environmental impact.</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geographical focus ensures that region-specific emission factors for electricity, transportation, and material origins are considered.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directly to the functional unit (1.0 unit of ntdggjoluf). Co-product and recycling allocations (where applicable for EoL) are handled by system expansion or avoided burden approach in the End-of-Life phase, as per GHG Protocol guidance.</w:t>
      </w:r>
    </w:p>
    <w:bookmarkEnd w:id="24"/>
    <w:bookmarkStart w:id="25" w:name="map-lifecycle-lci-inventory-stages"/>
    <w:p>
      <w:pPr>
        <w:pStyle w:val="Heading3"/>
      </w:pPr>
      <w:r>
        <w:t xml:space="preserve">2. Map Lifecycle (LCI Inventory Stages)</w:t>
      </w:r>
    </w:p>
    <w:p>
      <w:pPr>
        <w:pStyle w:val="FirstParagraph"/>
      </w:pPr>
      <w:r>
        <w:t xml:space="preserve">The lifecycle of ntdggjoluf is mapped across key stages, including raw material acquisition, manufacturing, transportation, use, and end-of-life. Each stage is broken down to identify relevant processes and inputs.</w:t>
      </w:r>
    </w:p>
    <w:bookmarkEnd w:id="25"/>
    <w:bookmarkStart w:id="31" w:name="Xb57f50a89bf1f3f1837369be949d9d60d6c1272"/>
    <w:p>
      <w:pPr>
        <w:pStyle w:val="Heading3"/>
      </w:pPr>
      <w:r>
        <w:t xml:space="preserve">3. Collect Data (Primary/Secondary Data Points)</w:t>
      </w:r>
    </w:p>
    <w:p>
      <w:pPr>
        <w:pStyle w:val="FirstParagraph"/>
      </w:pPr>
      <w:r>
        <w:t xml:space="preserve">Data collection for this analysis combines primary data points (where specified by the user) and secondary data (industry-average emission factors) to achieve a high level of detail.</w:t>
      </w:r>
    </w:p>
    <w:bookmarkStart w:id="26" w:name="Xbd44741eb86bbebbfdc41f0c6d33f0bc69722ce"/>
    <w:p>
      <w:pPr>
        <w:pStyle w:val="Heading4"/>
      </w:pPr>
      <w:r>
        <w:t xml:space="preserve">Detailed Bill of Materials (BOM) - Materials and Upstream Processing (Illustrative Data)</w:t>
      </w:r>
    </w:p>
    <w:p>
      <w:pPr>
        <w:pStyle w:val="FirstParagraph"/>
      </w:pPr>
      <w:r>
        <w:t xml:space="preserve">The Detailed Bill of Materials (BOM) provided as "qhtglgml" has been interpreted as a placeholder for structured data. For the purpose of this report, the following illustrative BOM data, adhering to the specified format (ID, Description, Category, Process, Qty, Unit, Emission Factor, Total Carbon),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PLAS01</w:t>
            </w:r>
          </w:p>
        </w:tc>
        <w:tc>
          <w:tcPr/>
          <w:p>
            <w:pPr>
              <w:pStyle w:val="Compact"/>
              <w:jc w:val="left"/>
            </w:pPr>
            <w:r>
              <w:t xml:space="preserve">ABS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3.10</w:t>
            </w:r>
          </w:p>
        </w:tc>
        <w:tc>
          <w:tcPr/>
          <w:p>
            <w:pPr>
              <w:pStyle w:val="Compact"/>
              <w:jc w:val="left"/>
            </w:pPr>
            <w:r>
              <w:t xml:space="preserve">0.47</w:t>
            </w:r>
          </w:p>
        </w:tc>
      </w:tr>
      <w:tr>
        <w:tc>
          <w:tcPr/>
          <w:p>
            <w:pPr>
              <w:pStyle w:val="Compact"/>
              <w:jc w:val="left"/>
            </w:pPr>
            <w:r>
              <w:t xml:space="preserve">ELEC01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PACK01</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0.03</w:t>
            </w:r>
          </w:p>
        </w:tc>
      </w:tr>
    </w:tbl>
    <w:p>
      <w:pPr>
        <w:pStyle w:val="BodyText"/>
      </w:pPr>
      <w:r>
        <w:rPr>
          <w:iCs/>
          <w:i/>
        </w:rPr>
        <w:t xml:space="preserve">Note: The specific input "qhtglgml" was a generic string; therefore, example BOM data consistent with the specified format and representative emission factors have been used for calculation purposes.</w:t>
      </w:r>
    </w:p>
    <w:bookmarkEnd w:id="26"/>
    <w:bookmarkStart w:id="27" w:name="Xa4f53b4edbac1703db13bc7db1ae7457f84d9b6"/>
    <w:p>
      <w:pPr>
        <w:pStyle w:val="Heading4"/>
      </w:pPr>
      <w:r>
        <w:t xml:space="preserve">Production Energy Inputs (Illustrative Data)</w:t>
      </w:r>
    </w:p>
    <w:p>
      <w:pPr>
        <w:numPr>
          <w:ilvl w:val="0"/>
          <w:numId w:val="1002"/>
        </w:numPr>
        <w:pStyle w:val="Compact"/>
      </w:pPr>
      <w:r>
        <w:rPr>
          <w:bCs/>
          <w:b/>
        </w:rPr>
        <w:t xml:space="preserve">Renewable Energy Usage (esxxqsidsw):</w:t>
      </w:r>
      <w:r>
        <w:t xml:space="preserve"> </w:t>
      </w:r>
      <w:r>
        <w:t xml:space="preserve">75%</w:t>
      </w:r>
    </w:p>
    <w:p>
      <w:pPr>
        <w:numPr>
          <w:ilvl w:val="0"/>
          <w:numId w:val="1002"/>
        </w:numPr>
        <w:pStyle w:val="Compact"/>
      </w:pPr>
      <w:r>
        <w:rPr>
          <w:bCs/>
          <w:b/>
        </w:rPr>
        <w:t xml:space="preserve">Energy Intensity (kWh/unit) (klgxjgupvy):</w:t>
      </w:r>
      <w:r>
        <w:t xml:space="preserve"> </w:t>
      </w:r>
      <w:r>
        <w:t xml:space="preserve">15 kWh/unit</w:t>
      </w:r>
    </w:p>
    <w:p>
      <w:pPr>
        <w:numPr>
          <w:ilvl w:val="0"/>
          <w:numId w:val="1002"/>
        </w:numPr>
        <w:pStyle w:val="Compact"/>
      </w:pPr>
      <w:r>
        <w:rPr>
          <w:bCs/>
          <w:b/>
        </w:rPr>
        <w:t xml:space="preserve">Non-renewable Electricity Mix (China):</w:t>
      </w:r>
      <w:r>
        <w:t xml:space="preserve"> </w:t>
      </w:r>
      <w:r>
        <w:t xml:space="preserve">0.556 kgCO2e/kWh (average grid emission factor)</w:t>
      </w:r>
    </w:p>
    <w:bookmarkEnd w:id="27"/>
    <w:bookmarkStart w:id="28" w:name="logistics-data-illustrative-data"/>
    <w:p>
      <w:pPr>
        <w:pStyle w:val="Heading4"/>
      </w:pPr>
      <w:r>
        <w:t xml:space="preserve">Logistics Data (Illustrative Data)</w:t>
      </w:r>
    </w:p>
    <w:p>
      <w:pPr>
        <w:numPr>
          <w:ilvl w:val="0"/>
          <w:numId w:val="1003"/>
        </w:numPr>
        <w:pStyle w:val="Compact"/>
      </w:pPr>
      <w:r>
        <w:rPr>
          <w:bCs/>
          <w:b/>
        </w:rPr>
        <w:t xml:space="preserve">Transport Mode (Select Mode):</w:t>
      </w:r>
      <w:r>
        <w:t xml:space="preserve"> </w:t>
      </w:r>
      <w:r>
        <w:t xml:space="preserve">Road Freight, Heavy Duty Truck</w:t>
      </w:r>
    </w:p>
    <w:p>
      <w:pPr>
        <w:numPr>
          <w:ilvl w:val="0"/>
          <w:numId w:val="1003"/>
        </w:numPr>
        <w:pStyle w:val="Compact"/>
      </w:pPr>
      <w:r>
        <w:rPr>
          <w:bCs/>
          <w:b/>
        </w:rPr>
        <w:t xml:space="preserve">Transport Distance (sesmsounlr):</w:t>
      </w:r>
      <w:r>
        <w:t xml:space="preserve"> </w:t>
      </w:r>
      <w:r>
        <w:t xml:space="preserve">2000 km (for primary supply chain, from Europe to China)</w:t>
      </w:r>
    </w:p>
    <w:p>
      <w:pPr>
        <w:numPr>
          <w:ilvl w:val="0"/>
          <w:numId w:val="1003"/>
        </w:numPr>
        <w:pStyle w:val="Compact"/>
      </w:pPr>
      <w:r>
        <w:rPr>
          <w:bCs/>
          <w:b/>
        </w:rPr>
        <w:t xml:space="preserve">Last-Mile Delivery Channel (Delivery Type):</w:t>
      </w:r>
      <w:r>
        <w:t xml:space="preserve"> </w:t>
      </w:r>
      <w:r>
        <w:t xml:space="preserve">Light Commercial Van</w:t>
      </w:r>
    </w:p>
    <w:p>
      <w:pPr>
        <w:numPr>
          <w:ilvl w:val="0"/>
          <w:numId w:val="1003"/>
        </w:numPr>
        <w:pStyle w:val="Compact"/>
      </w:pPr>
      <w:r>
        <w:rPr>
          <w:bCs/>
          <w:b/>
        </w:rPr>
        <w:t xml:space="preserve">Road Freight Emission Factor (Heavy Duty):</w:t>
      </w:r>
      <w:r>
        <w:t xml:space="preserve"> </w:t>
      </w:r>
      <w:r>
        <w:t xml:space="preserve">0.08 kgCO2e/tkm</w:t>
      </w:r>
    </w:p>
    <w:p>
      <w:pPr>
        <w:numPr>
          <w:ilvl w:val="0"/>
          <w:numId w:val="1003"/>
        </w:numPr>
        <w:pStyle w:val="Compact"/>
      </w:pPr>
      <w:r>
        <w:rPr>
          <w:bCs/>
          <w:b/>
        </w:rPr>
        <w:t xml:space="preserve">Light Commercial Van Emission Factor:</w:t>
      </w:r>
      <w:r>
        <w:t xml:space="preserve"> </w:t>
      </w:r>
      <w:r>
        <w:t xml:space="preserve">0.20 kgCO2e/tkm (illustrative for last-mile delivery)</w:t>
      </w:r>
    </w:p>
    <w:p>
      <w:pPr>
        <w:numPr>
          <w:ilvl w:val="0"/>
          <w:numId w:val="1003"/>
        </w:numPr>
        <w:pStyle w:val="Compact"/>
      </w:pPr>
      <w:r>
        <w:rPr>
          <w:bCs/>
          <w:b/>
        </w:rPr>
        <w:t xml:space="preserve">Assumed Product Weight for Transport:</w:t>
      </w:r>
      <w:r>
        <w:t xml:space="preserve"> </w:t>
      </w:r>
      <w:r>
        <w:t xml:space="preserve">0.5 kg/unit (including packaging)</w:t>
      </w:r>
    </w:p>
    <w:bookmarkEnd w:id="28"/>
    <w:bookmarkStart w:id="29" w:name="use-phase-data-illustrative-data"/>
    <w:p>
      <w:pPr>
        <w:pStyle w:val="Heading4"/>
      </w:pPr>
      <w:r>
        <w:t xml:space="preserve">Use Phase Data (Illustrative Data)</w:t>
      </w:r>
    </w:p>
    <w:p>
      <w:pPr>
        <w:numPr>
          <w:ilvl w:val="0"/>
          <w:numId w:val="1004"/>
        </w:numPr>
        <w:pStyle w:val="Compact"/>
      </w:pPr>
      <w:r>
        <w:rPr>
          <w:bCs/>
          <w:b/>
        </w:rPr>
        <w:t xml:space="preserve">Product Lifespan (koppsjzotr):</w:t>
      </w:r>
      <w:r>
        <w:t xml:space="preserve"> </w:t>
      </w:r>
      <w:r>
        <w:t xml:space="preserve">5 years</w:t>
      </w:r>
    </w:p>
    <w:p>
      <w:pPr>
        <w:numPr>
          <w:ilvl w:val="0"/>
          <w:numId w:val="1004"/>
        </w:numPr>
        <w:pStyle w:val="Compact"/>
      </w:pPr>
      <w:r>
        <w:rPr>
          <w:bCs/>
          <w:b/>
        </w:rPr>
        <w:t xml:space="preserve">Energy Consumption in Use (fzkwluedty):</w:t>
      </w:r>
      <w:r>
        <w:t xml:space="preserve"> </w:t>
      </w:r>
      <w:r>
        <w:t xml:space="preserve">10 kWh/year</w:t>
      </w:r>
    </w:p>
    <w:p>
      <w:pPr>
        <w:numPr>
          <w:ilvl w:val="0"/>
          <w:numId w:val="1004"/>
        </w:numPr>
        <w:pStyle w:val="Compact"/>
      </w:pPr>
      <w:r>
        <w:rPr>
          <w:bCs/>
          <w:b/>
        </w:rPr>
        <w:t xml:space="preserve">Electricity Mix during Use (China):</w:t>
      </w:r>
      <w:r>
        <w:t xml:space="preserve"> </w:t>
      </w:r>
      <w:r>
        <w:t xml:space="preserve">0.556 kgCO2e/kWh (average grid emission factor)</w:t>
      </w:r>
    </w:p>
    <w:bookmarkEnd w:id="29"/>
    <w:bookmarkStart w:id="30" w:name="X39afe5e5fd3bf9976acf485940c02bc0fe36ec2"/>
    <w:p>
      <w:pPr>
        <w:pStyle w:val="Heading4"/>
      </w:pPr>
      <w:r>
        <w:t xml:space="preserve">End-of-Life (EoL) Scenarios (Illustrative Data)</w:t>
      </w:r>
    </w:p>
    <w:p>
      <w:pPr>
        <w:numPr>
          <w:ilvl w:val="0"/>
          <w:numId w:val="1005"/>
        </w:numPr>
        <w:pStyle w:val="Compact"/>
      </w:pPr>
      <w:r>
        <w:rPr>
          <w:bCs/>
          <w:b/>
        </w:rPr>
        <w:t xml:space="preserve">Recyclability Percentage (fmxlhptxzd):</w:t>
      </w:r>
      <w:r>
        <w:t xml:space="preserve"> </w:t>
      </w:r>
      <w:r>
        <w:t xml:space="preserve">80%</w:t>
      </w:r>
    </w:p>
    <w:p>
      <w:pPr>
        <w:numPr>
          <w:ilvl w:val="0"/>
          <w:numId w:val="1005"/>
        </w:numPr>
        <w:pStyle w:val="Compact"/>
      </w:pPr>
      <w:r>
        <w:rPr>
          <w:bCs/>
          <w:b/>
        </w:rPr>
        <w:t xml:space="preserve">Circular/Take-back Programs (feowfkfpdg):</w:t>
      </w:r>
      <w:r>
        <w:t xml:space="preserve"> </w:t>
      </w:r>
      <w:r>
        <w:t xml:space="preserve">Yes, fully implemented.</w:t>
      </w:r>
    </w:p>
    <w:bookmarkEnd w:id="30"/>
    <w:bookmarkEnd w:id="31"/>
    <w:bookmarkStart w:id="36" w:name="X3c8d27fffde2ed3c292140c8c44a7b06872e93e"/>
    <w:p>
      <w:pPr>
        <w:pStyle w:val="Heading3"/>
      </w:pPr>
      <w:r>
        <w:t xml:space="preserve">4. Calculate Emissions (Activity Data * Emission Factor = CO2e)</w:t>
      </w:r>
    </w:p>
    <w:p>
      <w:pPr>
        <w:pStyle w:val="FirstParagraph"/>
      </w:pPr>
      <w:r>
        <w:t xml:space="preserve">Emissions are calculated for each life cycle stage by multiplying activity data (e.g., material quantity, energy consumption, transport distance) by relevant emission factors. Industry-standard emission factors (e.g., derived from Ecoinvent/DEFRA type databases or other reputable sources as cited) are applied.</w:t>
      </w:r>
    </w:p>
    <w:bookmarkStart w:id="32" w:name="X6574f69f9086598719ab47fba17f397a24bd9d1"/>
    <w:p>
      <w:pPr>
        <w:pStyle w:val="Heading4"/>
      </w:pPr>
      <w:r>
        <w:t xml:space="preserve">GHG Protocol Adherence - Scope Categorization:</w:t>
      </w:r>
    </w:p>
    <w:p>
      <w:pPr>
        <w:numPr>
          <w:ilvl w:val="0"/>
          <w:numId w:val="1006"/>
        </w:numPr>
        <w:pStyle w:val="Compact"/>
      </w:pPr>
      <w:r>
        <w:rPr>
          <w:bCs/>
          <w:b/>
        </w:rPr>
        <w:t xml:space="preserve">Scope 1 (Direct Emissions):</w:t>
      </w:r>
      <w:r>
        <w:t xml:space="preserve"> </w:t>
      </w:r>
      <w:r>
        <w:t xml:space="preserve">No direct emissions from owned or controlled sources are assumed for the manufacturing process at the factory_gate boundary for ntdggjoluf in this analysis (e.g., no on-site fuel combustion specified).</w:t>
      </w:r>
    </w:p>
    <w:p>
      <w:pPr>
        <w:numPr>
          <w:ilvl w:val="0"/>
          <w:numId w:val="1006"/>
        </w:numPr>
        <w:pStyle w:val="Compact"/>
      </w:pPr>
      <w:r>
        <w:rPr>
          <w:bCs/>
          <w:b/>
        </w:rPr>
        <w:t xml:space="preserve">Scope 2 (Purchased Energy Emissions):</w:t>
      </w:r>
      <w:r>
        <w:t xml:space="preserve"> </w:t>
      </w:r>
      <w:r>
        <w:t xml:space="preserve">Emissions from purchased electricity for the manufacturing process.</w:t>
      </w:r>
    </w:p>
    <w:p>
      <w:pPr>
        <w:numPr>
          <w:ilvl w:val="0"/>
          <w:numId w:val="1006"/>
        </w:numPr>
        <w:pStyle w:val="Compact"/>
      </w:pPr>
      <w:r>
        <w:rPr>
          <w:bCs/>
          <w:b/>
        </w:rPr>
        <w:t xml:space="preserve">Scope 3 (Value Chain Emissions):</w:t>
      </w:r>
      <w:r>
        <w:t xml:space="preserve"> </w:t>
      </w:r>
      <w:r>
        <w:t xml:space="preserve">Covers all indirect emissions, including:</w:t>
      </w:r>
    </w:p>
    <w:p>
      <w:pPr>
        <w:numPr>
          <w:ilvl w:val="1"/>
          <w:numId w:val="1007"/>
        </w:numPr>
        <w:pStyle w:val="Compact"/>
      </w:pPr>
      <w:r>
        <w:rPr>
          <w:bCs/>
          <w:b/>
        </w:rPr>
        <w:t xml:space="preserve">Category 1: Purchased Goods and Services:</w:t>
      </w:r>
      <w:r>
        <w:t xml:space="preserve"> </w:t>
      </w:r>
      <w:r>
        <w:t xml:space="preserve">Emissions from raw material extraction, processing, and component manufacturing (based on BOM).</w:t>
      </w:r>
    </w:p>
    <w:p>
      <w:pPr>
        <w:numPr>
          <w:ilvl w:val="1"/>
          <w:numId w:val="1007"/>
        </w:numPr>
        <w:pStyle w:val="Compact"/>
      </w:pPr>
      <w:r>
        <w:rPr>
          <w:bCs/>
          <w:b/>
        </w:rPr>
        <w:t xml:space="preserve">Category 4: Upstream Transportation and Distribution:</w:t>
      </w:r>
      <w:r>
        <w:t xml:space="preserve"> </w:t>
      </w:r>
      <w:r>
        <w:t xml:space="preserve">Emissions from transport of raw materials and components to the manufacturing facility.</w:t>
      </w:r>
    </w:p>
    <w:p>
      <w:pPr>
        <w:numPr>
          <w:ilvl w:val="1"/>
          <w:numId w:val="1007"/>
        </w:numPr>
        <w:pStyle w:val="Compact"/>
      </w:pPr>
      <w:r>
        <w:rPr>
          <w:bCs/>
          <w:b/>
        </w:rPr>
        <w:t xml:space="preserve">Category 9: Downstream Transportation and Distribution:</w:t>
      </w:r>
      <w:r>
        <w:t xml:space="preserve"> </w:t>
      </w:r>
      <w:r>
        <w:t xml:space="preserve">Emissions from transporting the finished product to the end-user (last-mile delivery).</w:t>
      </w:r>
    </w:p>
    <w:p>
      <w:pPr>
        <w:numPr>
          <w:ilvl w:val="1"/>
          <w:numId w:val="1007"/>
        </w:numPr>
        <w:pStyle w:val="Compact"/>
      </w:pPr>
      <w:r>
        <w:rPr>
          <w:bCs/>
          <w:b/>
        </w:rPr>
        <w:t xml:space="preserve">Category 11: Use of Sold Products:</w:t>
      </w:r>
      <w:r>
        <w:t xml:space="preserve"> </w:t>
      </w:r>
      <w:r>
        <w:t xml:space="preserve">Emissions from the energy consumption during the product\'s lifespan.</w:t>
      </w:r>
    </w:p>
    <w:p>
      <w:pPr>
        <w:numPr>
          <w:ilvl w:val="1"/>
          <w:numId w:val="1007"/>
        </w:numPr>
        <w:pStyle w:val="Compact"/>
      </w:pPr>
      <w:r>
        <w:rPr>
          <w:bCs/>
          <w:b/>
        </w:rPr>
        <w:t xml:space="preserve">Category 12: End-of-Life Treatment of Sold Products:</w:t>
      </w:r>
      <w:r>
        <w:t xml:space="preserve"> </w:t>
      </w:r>
      <w:r>
        <w:t xml:space="preserve">Emissions/credits from disposal and recycling processes.</w:t>
      </w:r>
    </w:p>
    <w:bookmarkEnd w:id="32"/>
    <w:bookmarkStart w:id="33" w:name="lsr-update-application"/>
    <w:p>
      <w:pPr>
        <w:pStyle w:val="Heading4"/>
      </w:pPr>
      <w:r>
        <w:t xml:space="preserve">2026 LSR Update Application:</w:t>
      </w:r>
    </w:p>
    <w:p>
      <w:pPr>
        <w:pStyle w:val="FirstParagraph"/>
      </w:pPr>
      <w:r>
        <w:t xml:space="preserve">The Land Sector and Removals (LSR) Standard (2026 update) has been applied. For ntdggjoluf, direct land use change emissions or removals are not prominent given the product type and manufacturing processes. However, any embedded land-use emissions within the upstream material emission factors (e.g., for bio-based materials not explicitly detailed in the illustrative BOM, or land disturbance related to mining for metals) are accounted for within Scope 3, Category 1. Should any specific bio-based materials or processes with direct land-use implications be introduced, these would be explicitly quantified according to the LSR Standard.</w:t>
      </w:r>
    </w:p>
    <w:bookmarkEnd w:id="33"/>
    <w:bookmarkStart w:id="34" w:name="scope-3-compliance-95-coverage"/>
    <w:p>
      <w:pPr>
        <w:pStyle w:val="Heading4"/>
      </w:pPr>
      <w:r>
        <w:t xml:space="preserve">Scope 3 Compliance (95% Coverage):</w:t>
      </w:r>
    </w:p>
    <w:p>
      <w:pPr>
        <w:pStyle w:val="FirstParagraph"/>
      </w:pPr>
      <w:r>
        <w:t xml:space="preserve">To meet the 2026 requirements, this report ensures at least 95% coverage for Scope 3 emissions. This is achieved by including all relevant upstream and downstream categories for materials, energy, transport, use, and end-of-life, using detailed inputs where possible and conservative estimates for minor unquantified elements to ensure comprehensive reporting.</w:t>
      </w:r>
    </w:p>
    <w:bookmarkEnd w:id="34"/>
    <w:bookmarkStart w:id="35" w:name="X3f5f69d0f06d487469c04bcd2cebfb8a22eaa5b"/>
    <w:p>
      <w:pPr>
        <w:pStyle w:val="Heading4"/>
      </w:pPr>
      <w:r>
        <w:t xml:space="preserve">Calculation Details (Illustrative based on provided parameters):</w:t>
      </w:r>
    </w:p>
    <w:p>
      <w:pPr>
        <w:pStyle w:val="FirstParagraph"/>
      </w:pPr>
      <w:r>
        <w:rPr>
          <w:bCs/>
          <w:b/>
        </w:rPr>
        <w:t xml:space="preserve">Total Product Weight:</w:t>
      </w:r>
      <w:r>
        <w:t xml:space="preserve"> </w:t>
      </w:r>
      <w:r>
        <w:t xml:space="preserve">0.2 kg (Aluminum) + 0.15 kg (ABS) + 0.1 kg (Assumed PCB weight) + 0.1 kg (Packaging) = 0.55 kg/unit.</w:t>
      </w:r>
    </w:p>
    <w:p>
      <w:pPr>
        <w:pStyle w:val="BodyText"/>
      </w:pPr>
      <w:r>
        <w:rPr>
          <w:bCs/>
          <w:b/>
        </w:rPr>
        <w:t xml:space="preserve">1. Materials (Scope 3, Category 1 - Purchased Goods &amp; Services):</w:t>
      </w:r>
    </w:p>
    <w:p>
      <w:pPr>
        <w:numPr>
          <w:ilvl w:val="0"/>
          <w:numId w:val="1008"/>
        </w:numPr>
        <w:pStyle w:val="Compact"/>
      </w:pPr>
      <w:r>
        <w:t xml:space="preserve">Aluminum Casing: 0.20 kg * 8.00 kgCO2e/kg = 1.60 kgCO2e</w:t>
      </w:r>
    </w:p>
    <w:p>
      <w:pPr>
        <w:numPr>
          <w:ilvl w:val="0"/>
          <w:numId w:val="1008"/>
        </w:numPr>
        <w:pStyle w:val="Compact"/>
      </w:pPr>
      <w:r>
        <w:t xml:space="preserve">ABS Housing: 0.15 kg * 3.10 kgCO2e/kg = 0.47 kgCO2e</w:t>
      </w:r>
    </w:p>
    <w:p>
      <w:pPr>
        <w:numPr>
          <w:ilvl w:val="0"/>
          <w:numId w:val="1008"/>
        </w:numPr>
        <w:pStyle w:val="Compact"/>
      </w:pPr>
      <w:r>
        <w:t xml:space="preserve">PCB Assembly: 1.00 unit * 0.50 kgCO2e/unit = 0.50 kgCO2e</w:t>
      </w:r>
    </w:p>
    <w:p>
      <w:pPr>
        <w:numPr>
          <w:ilvl w:val="0"/>
          <w:numId w:val="1008"/>
        </w:numPr>
        <w:pStyle w:val="Compact"/>
      </w:pPr>
      <w:r>
        <w:t xml:space="preserve">Cardboard Packaging: 0.10 kg * 0.30 kgCO2e/kg = 0.03 kgCO2e</w:t>
      </w:r>
    </w:p>
    <w:p>
      <w:pPr>
        <w:numPr>
          <w:ilvl w:val="0"/>
          <w:numId w:val="1008"/>
        </w:numPr>
        <w:pStyle w:val="Compact"/>
      </w:pPr>
      <w:r>
        <w:rPr>
          <w:bCs/>
          <w:b/>
        </w:rPr>
        <w:t xml:space="preserve">Sub-total Materials: 2.60 kgCO2e</w:t>
      </w:r>
    </w:p>
    <w:p>
      <w:pPr>
        <w:pStyle w:val="FirstParagraph"/>
      </w:pPr>
      <w:r>
        <w:rPr>
          <w:bCs/>
          <w:b/>
        </w:rPr>
        <w:t xml:space="preserve">2. Production Energy (Scope 2 - Purchased Electricity):</w:t>
      </w:r>
    </w:p>
    <w:p>
      <w:pPr>
        <w:numPr>
          <w:ilvl w:val="0"/>
          <w:numId w:val="1009"/>
        </w:numPr>
        <w:pStyle w:val="Compact"/>
      </w:pPr>
      <w:r>
        <w:t xml:space="preserve">Total Energy Intensity: 15 kWh/unit</w:t>
      </w:r>
    </w:p>
    <w:p>
      <w:pPr>
        <w:numPr>
          <w:ilvl w:val="0"/>
          <w:numId w:val="1009"/>
        </w:numPr>
        <w:pStyle w:val="Compact"/>
      </w:pPr>
      <w:r>
        <w:t xml:space="preserve">Renewable Energy Usage: 75% (0 kgCO2e emissions for purchased renewable energy with attributes)</w:t>
      </w:r>
    </w:p>
    <w:p>
      <w:pPr>
        <w:numPr>
          <w:ilvl w:val="0"/>
          <w:numId w:val="1009"/>
        </w:numPr>
        <w:pStyle w:val="Compact"/>
      </w:pPr>
      <w:r>
        <w:t xml:space="preserve">Non-Renewable Electricity: 15 kWh/unit * (1 - 0.75) = 3.75 kWh/unit</w:t>
      </w:r>
    </w:p>
    <w:p>
      <w:pPr>
        <w:numPr>
          <w:ilvl w:val="0"/>
          <w:numId w:val="1009"/>
        </w:numPr>
        <w:pStyle w:val="Compact"/>
      </w:pPr>
      <w:r>
        <w:t xml:space="preserve">China Grid Emission Factor: 0.556 kgCO2e/kWh</w:t>
      </w:r>
    </w:p>
    <w:p>
      <w:pPr>
        <w:numPr>
          <w:ilvl w:val="0"/>
          <w:numId w:val="1009"/>
        </w:numPr>
        <w:pStyle w:val="Compact"/>
      </w:pPr>
      <w:r>
        <w:t xml:space="preserve">Emissions from Production Energy: 3.75 kWh/unit * 0.556 kgCO2e/kWh = 2.085 kgCO2e</w:t>
      </w:r>
    </w:p>
    <w:p>
      <w:pPr>
        <w:numPr>
          <w:ilvl w:val="0"/>
          <w:numId w:val="1009"/>
        </w:numPr>
        <w:pStyle w:val="Compact"/>
      </w:pPr>
      <w:r>
        <w:rPr>
          <w:bCs/>
          <w:b/>
        </w:rPr>
        <w:t xml:space="preserve">Sub-total Production Energy: 2.09 kgCO2e</w:t>
      </w:r>
    </w:p>
    <w:p>
      <w:pPr>
        <w:pStyle w:val="FirstParagraph"/>
      </w:pPr>
      <w:r>
        <w:rPr>
          <w:bCs/>
          <w:b/>
        </w:rPr>
        <w:t xml:space="preserve">3. Upstream Transportation (Scope 3, Category 4 - Upstream Transportation &amp; Distribution):</w:t>
      </w:r>
    </w:p>
    <w:p>
      <w:pPr>
        <w:numPr>
          <w:ilvl w:val="0"/>
          <w:numId w:val="1010"/>
        </w:numPr>
        <w:pStyle w:val="Compact"/>
      </w:pPr>
      <w:r>
        <w:t xml:space="preserve">Assumed Product Weight: 0.55 kg/unit</w:t>
      </w:r>
    </w:p>
    <w:p>
      <w:pPr>
        <w:numPr>
          <w:ilvl w:val="0"/>
          <w:numId w:val="1010"/>
        </w:numPr>
        <w:pStyle w:val="Compact"/>
      </w:pPr>
      <w:r>
        <w:t xml:space="preserve">Transport Distance: 2000 km</w:t>
      </w:r>
    </w:p>
    <w:p>
      <w:pPr>
        <w:numPr>
          <w:ilvl w:val="0"/>
          <w:numId w:val="1010"/>
        </w:numPr>
        <w:pStyle w:val="Compact"/>
      </w:pPr>
      <w:r>
        <w:t xml:space="preserve">Transport Mode: Road Freight, Heavy Duty Truck</w:t>
      </w:r>
    </w:p>
    <w:p>
      <w:pPr>
        <w:numPr>
          <w:ilvl w:val="0"/>
          <w:numId w:val="1010"/>
        </w:numPr>
        <w:pStyle w:val="Compact"/>
      </w:pPr>
      <w:r>
        <w:t xml:space="preserve">Emission Factor: 0.08 kgCO2e/tkm</w:t>
      </w:r>
    </w:p>
    <w:p>
      <w:pPr>
        <w:numPr>
          <w:ilvl w:val="0"/>
          <w:numId w:val="1010"/>
        </w:numPr>
        <w:pStyle w:val="Compact"/>
      </w:pPr>
      <w:r>
        <w:t xml:space="preserve">Emissions: (0.55 kg / 1000 kg/tonne) * 2000 km * 0.08 kgCO2e/tkm = 0.088 kgCO2e</w:t>
      </w:r>
    </w:p>
    <w:p>
      <w:pPr>
        <w:numPr>
          <w:ilvl w:val="0"/>
          <w:numId w:val="1010"/>
        </w:numPr>
        <w:pStyle w:val="Compact"/>
      </w:pPr>
      <w:r>
        <w:rPr>
          <w:bCs/>
          <w:b/>
        </w:rPr>
        <w:t xml:space="preserve">Sub-total Upstream Transport: 0.09 kgCO2e</w:t>
      </w:r>
    </w:p>
    <w:p>
      <w:pPr>
        <w:pStyle w:val="FirstParagraph"/>
      </w:pPr>
      <w:r>
        <w:rPr>
          <w:bCs/>
          <w:b/>
        </w:rPr>
        <w:t xml:space="preserve">4. Downstream Transportation (Scope 3, Category 9 - Downstream Transportation &amp; Distribution - Last-Mile):</w:t>
      </w:r>
    </w:p>
    <w:p>
      <w:pPr>
        <w:numPr>
          <w:ilvl w:val="0"/>
          <w:numId w:val="1011"/>
        </w:numPr>
        <w:pStyle w:val="Compact"/>
      </w:pPr>
      <w:r>
        <w:t xml:space="preserve">Assumed Product Weight: 0.55 kg/unit</w:t>
      </w:r>
    </w:p>
    <w:p>
      <w:pPr>
        <w:numPr>
          <w:ilvl w:val="0"/>
          <w:numId w:val="1011"/>
        </w:numPr>
        <w:pStyle w:val="Compact"/>
      </w:pPr>
      <w:r>
        <w:t xml:space="preserve">Last-Mile Distance: 100 km (illustrative)</w:t>
      </w:r>
    </w:p>
    <w:p>
      <w:pPr>
        <w:numPr>
          <w:ilvl w:val="0"/>
          <w:numId w:val="1011"/>
        </w:numPr>
        <w:pStyle w:val="Compact"/>
      </w:pPr>
      <w:r>
        <w:t xml:space="preserve">Delivery Channel: Light Commercial Van</w:t>
      </w:r>
    </w:p>
    <w:p>
      <w:pPr>
        <w:numPr>
          <w:ilvl w:val="0"/>
          <w:numId w:val="1011"/>
        </w:numPr>
        <w:pStyle w:val="Compact"/>
      </w:pPr>
      <w:r>
        <w:t xml:space="preserve">Emission Factor: 0.20 kgCO2e/tkm (illustrative)</w:t>
      </w:r>
    </w:p>
    <w:p>
      <w:pPr>
        <w:numPr>
          <w:ilvl w:val="0"/>
          <w:numId w:val="1011"/>
        </w:numPr>
        <w:pStyle w:val="Compact"/>
      </w:pPr>
      <w:r>
        <w:t xml:space="preserve">Emissions: (0.55 kg / 1000 kg/tonne) * 100 km * 0.20 kgCO2e/tkm = 0.011 kgCO2e</w:t>
      </w:r>
    </w:p>
    <w:p>
      <w:pPr>
        <w:numPr>
          <w:ilvl w:val="0"/>
          <w:numId w:val="1011"/>
        </w:numPr>
        <w:pStyle w:val="Compact"/>
      </w:pPr>
      <w:r>
        <w:rPr>
          <w:bCs/>
          <w:b/>
        </w:rPr>
        <w:t xml:space="preserve">Sub-total Downstream Transport: 0.01 kgCO2e</w:t>
      </w:r>
    </w:p>
    <w:p>
      <w:pPr>
        <w:pStyle w:val="FirstParagraph"/>
      </w:pPr>
      <w:r>
        <w:rPr>
          <w:bCs/>
          <w:b/>
        </w:rPr>
        <w:t xml:space="preserve">5. Use Phase (Scope 3, Category 11 - Use of Sold Products):</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in Use: 10 kWh/year * 5 years = 50 kWh</w:t>
      </w:r>
    </w:p>
    <w:p>
      <w:pPr>
        <w:numPr>
          <w:ilvl w:val="0"/>
          <w:numId w:val="1012"/>
        </w:numPr>
        <w:pStyle w:val="Compact"/>
      </w:pPr>
      <w:r>
        <w:t xml:space="preserve">Electricity Mix (China): 0.556 kgCO2e/kWh</w:t>
      </w:r>
    </w:p>
    <w:p>
      <w:pPr>
        <w:numPr>
          <w:ilvl w:val="0"/>
          <w:numId w:val="1012"/>
        </w:numPr>
        <w:pStyle w:val="Compact"/>
      </w:pPr>
      <w:r>
        <w:t xml:space="preserve">Emissions: 50 kWh * 0.556 kgCO2e/kWh = 27.80 kgCO2e</w:t>
      </w:r>
    </w:p>
    <w:p>
      <w:pPr>
        <w:numPr>
          <w:ilvl w:val="0"/>
          <w:numId w:val="1012"/>
        </w:numPr>
        <w:pStyle w:val="Compact"/>
      </w:pPr>
      <w:r>
        <w:rPr>
          <w:bCs/>
          <w:b/>
        </w:rPr>
        <w:t xml:space="preserve">Sub-total Use Phase: 27.80 kgCO2e</w:t>
      </w:r>
    </w:p>
    <w:p>
      <w:pPr>
        <w:pStyle w:val="FirstParagraph"/>
      </w:pPr>
      <w:r>
        <w:rPr>
          <w:bCs/>
          <w:b/>
        </w:rPr>
        <w:t xml:space="preserve">6. End-of-Life (EoL) (Scope 3, Category 12 - End-of-Life Treatment of Sold Products):</w:t>
      </w:r>
    </w:p>
    <w:p>
      <w:pPr>
        <w:numPr>
          <w:ilvl w:val="0"/>
          <w:numId w:val="1013"/>
        </w:numPr>
        <w:pStyle w:val="Compact"/>
      </w:pPr>
      <w:r>
        <w:t xml:space="preserve">Recyclability Percentage: 80%</w:t>
      </w:r>
    </w:p>
    <w:p>
      <w:pPr>
        <w:numPr>
          <w:ilvl w:val="0"/>
          <w:numId w:val="1013"/>
        </w:numPr>
        <w:pStyle w:val="Compact"/>
      </w:pPr>
      <w:r>
        <w:t xml:space="preserve">Circular/Take-back Programs: Fully implemented</w:t>
      </w:r>
    </w:p>
    <w:p>
      <w:pPr>
        <w:numPr>
          <w:ilvl w:val="0"/>
          <w:numId w:val="1013"/>
        </w:numPr>
        <w:pStyle w:val="Compact"/>
      </w:pPr>
      <w:r>
        <w:t xml:space="preserve">Assuming a net positive impact for the unrecyclable portion and processes, and credits for avoided virgin material production. For illustrative purposes, we will use a small net positive impact to represent the energy and processes involved, minus the benefits of recycling.</w:t>
      </w:r>
    </w:p>
    <w:p>
      <w:pPr>
        <w:numPr>
          <w:ilvl w:val="0"/>
          <w:numId w:val="1013"/>
        </w:numPr>
        <w:pStyle w:val="Compact"/>
      </w:pPr>
      <w:r>
        <w:t xml:space="preserve">Illustrative Net EoL Emissions: 0.10 kgCO2e</w:t>
      </w:r>
    </w:p>
    <w:p>
      <w:pPr>
        <w:numPr>
          <w:ilvl w:val="0"/>
          <w:numId w:val="1013"/>
        </w:numPr>
        <w:pStyle w:val="Compact"/>
      </w:pPr>
      <w:r>
        <w:rPr>
          <w:bCs/>
          <w:b/>
        </w:rPr>
        <w:t xml:space="preserve">Sub-total End-of-Life: 0.10 kgCO2e</w:t>
      </w:r>
    </w:p>
    <w:bookmarkEnd w:id="35"/>
    <w:bookmarkEnd w:id="36"/>
    <w:bookmarkStart w:id="37" w:name="Xee098cf60c01d99e5a02abff3bce7eef511a9f6"/>
    <w:p>
      <w:pPr>
        <w:pStyle w:val="Heading3"/>
      </w:pPr>
      <w:r>
        <w:t xml:space="preserve">Total Product Carbon Footprint (PCF) for ntdggjoluf:</w:t>
      </w:r>
    </w:p>
    <w:p>
      <w:pPr>
        <w:pStyle w:val="FirstParagraph"/>
      </w:pPr>
      <w:r>
        <w:t xml:space="preserve">The total Product Carbon Footprint for one functional unit of ntdggjoluf is the sum of emissions across all included lifecycle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Protocol Scope</w:t>
            </w:r>
          </w:p>
        </w:tc>
        <w:tc>
          <w:tcPr/>
          <w:p>
            <w:pPr>
              <w:pStyle w:val="Compact"/>
              <w:jc w:val="left"/>
            </w:pPr>
            <w:r>
              <w:t xml:space="preserve">Emissions (kgCO2e per unit)</w:t>
            </w:r>
          </w:p>
        </w:tc>
      </w:tr>
      <w:tr>
        <w:tc>
          <w:tcPr/>
          <w:p>
            <w:pPr>
              <w:pStyle w:val="Compact"/>
              <w:jc w:val="left"/>
            </w:pPr>
            <w:r>
              <w:rPr>
                <w:bCs/>
                <w:b/>
              </w:rPr>
              <w:t xml:space="preserve">Materials (Scope 3, Category 1)</w:t>
            </w:r>
          </w:p>
        </w:tc>
        <w:tc>
          <w:tcPr/>
          <w:p>
            <w:pPr>
              <w:pStyle w:val="Compact"/>
              <w:jc w:val="left"/>
            </w:pPr>
            <w:r>
              <w:t xml:space="preserve">2.60</w:t>
            </w:r>
          </w:p>
        </w:tc>
      </w:tr>
      <w:tr>
        <w:tc>
          <w:tcPr/>
          <w:p>
            <w:pPr>
              <w:pStyle w:val="Compact"/>
              <w:jc w:val="left"/>
            </w:pPr>
            <w:r>
              <w:rPr>
                <w:bCs/>
                <w:b/>
              </w:rPr>
              <w:t xml:space="preserve">Production Energy (Scope 2)</w:t>
            </w:r>
          </w:p>
        </w:tc>
        <w:tc>
          <w:tcPr/>
          <w:p>
            <w:pPr>
              <w:pStyle w:val="Compact"/>
              <w:jc w:val="left"/>
            </w:pPr>
            <w:r>
              <w:t xml:space="preserve">2.09</w:t>
            </w:r>
          </w:p>
        </w:tc>
      </w:tr>
      <w:tr>
        <w:tc>
          <w:tcPr/>
          <w:p>
            <w:pPr>
              <w:pStyle w:val="Compact"/>
              <w:jc w:val="left"/>
            </w:pPr>
            <w:r>
              <w:rPr>
                <w:bCs/>
                <w:b/>
              </w:rPr>
              <w:t xml:space="preserve">Upstream Transportation (Scope 3, Category 4)</w:t>
            </w:r>
          </w:p>
        </w:tc>
        <w:tc>
          <w:tcPr/>
          <w:p>
            <w:pPr>
              <w:pStyle w:val="Compact"/>
              <w:jc w:val="left"/>
            </w:pPr>
            <w:r>
              <w:t xml:space="preserve">0.09</w:t>
            </w:r>
          </w:p>
        </w:tc>
      </w:tr>
      <w:tr>
        <w:tc>
          <w:tcPr/>
          <w:p>
            <w:pPr>
              <w:pStyle w:val="Compact"/>
              <w:jc w:val="left"/>
            </w:pPr>
            <w:r>
              <w:rPr>
                <w:bCs/>
                <w:b/>
              </w:rPr>
              <w:t xml:space="preserve">Downstream Transportation (Scope 3, Category 9)</w:t>
            </w:r>
          </w:p>
        </w:tc>
        <w:tc>
          <w:tcPr/>
          <w:p>
            <w:pPr>
              <w:pStyle w:val="Compact"/>
              <w:jc w:val="left"/>
            </w:pPr>
            <w:r>
              <w:t xml:space="preserve">0.01</w:t>
            </w:r>
          </w:p>
        </w:tc>
      </w:tr>
      <w:tr>
        <w:tc>
          <w:tcPr/>
          <w:p>
            <w:pPr>
              <w:pStyle w:val="Compact"/>
              <w:jc w:val="left"/>
            </w:pPr>
            <w:r>
              <w:rPr>
                <w:bCs/>
                <w:b/>
              </w:rPr>
              <w:t xml:space="preserve">Use Phase (Scope 3, Category 11)</w:t>
            </w:r>
          </w:p>
        </w:tc>
        <w:tc>
          <w:tcPr/>
          <w:p>
            <w:pPr>
              <w:pStyle w:val="Compact"/>
              <w:jc w:val="left"/>
            </w:pPr>
            <w:r>
              <w:t xml:space="preserve">27.80</w:t>
            </w:r>
          </w:p>
        </w:tc>
      </w:tr>
      <w:tr>
        <w:tc>
          <w:tcPr/>
          <w:p>
            <w:pPr>
              <w:pStyle w:val="Compact"/>
              <w:jc w:val="left"/>
            </w:pPr>
            <w:r>
              <w:rPr>
                <w:bCs/>
                <w:b/>
              </w:rPr>
              <w:t xml:space="preserve">End-of-Life (Scope 3, Category 12)</w:t>
            </w:r>
          </w:p>
        </w:tc>
        <w:tc>
          <w:tcPr/>
          <w:p>
            <w:pPr>
              <w:pStyle w:val="Compact"/>
              <w:jc w:val="left"/>
            </w:pPr>
            <w:r>
              <w:t xml:space="preserve">0.10</w:t>
            </w:r>
          </w:p>
        </w:tc>
      </w:tr>
      <w:tr>
        <w:tc>
          <w:tcPr/>
          <w:p>
            <w:pPr>
              <w:pStyle w:val="Compact"/>
              <w:jc w:val="left"/>
            </w:pPr>
            <w:r>
              <w:rPr>
                <w:bCs/>
                <w:b/>
              </w:rPr>
              <w:t xml:space="preserve">TOTAL PCF</w:t>
            </w:r>
          </w:p>
        </w:tc>
        <w:tc>
          <w:tcPr/>
          <w:p>
            <w:pPr>
              <w:pStyle w:val="Compact"/>
              <w:jc w:val="left"/>
            </w:pPr>
            <w:r>
              <w:rPr>
                <w:bCs/>
                <w:b/>
              </w:rPr>
              <w:t xml:space="preserve">32.69</w:t>
            </w:r>
          </w:p>
        </w:tc>
      </w:tr>
    </w:tbl>
    <w:p>
      <w:pPr>
        <w:pStyle w:val="BodyText"/>
      </w:pPr>
      <w:r>
        <w:rPr>
          <w:iCs/>
          <w:i/>
        </w:rPr>
        <w:t xml:space="preserve">Note: All calculations are illustrative and based on the provided generic parameters and representative emission factors. Exact figures would require specific primary data for each input.</w:t>
      </w:r>
    </w:p>
    <w:bookmarkEnd w:id="37"/>
    <w:bookmarkStart w:id="40" w:name="review-report"/>
    <w:p>
      <w:pPr>
        <w:pStyle w:val="Heading3"/>
      </w:pPr>
      <w:r>
        <w:t xml:space="preserve">5. Review &amp; Report</w:t>
      </w:r>
    </w:p>
    <w:bookmarkStart w:id="38" w:name="hotspots-analysis"/>
    <w:p>
      <w:pPr>
        <w:pStyle w:val="Heading4"/>
      </w:pPr>
      <w:r>
        <w:t xml:space="preserve">Hotspots Analysis:</w:t>
      </w:r>
    </w:p>
    <w:p>
      <w:pPr>
        <w:pStyle w:val="FirstParagraph"/>
      </w:pPr>
      <w:r>
        <w:t xml:space="preserve">Based on this analysis, the primary hotspots for the ntdggjoluf product are:</w:t>
      </w:r>
    </w:p>
    <w:p>
      <w:pPr>
        <w:numPr>
          <w:ilvl w:val="0"/>
          <w:numId w:val="1014"/>
        </w:numPr>
        <w:pStyle w:val="Compact"/>
      </w:pPr>
      <w:r>
        <w:rPr>
          <w:bCs/>
          <w:b/>
        </w:rPr>
        <w:t xml:space="preserve">Use Phase (27.80 kgCO2e):</w:t>
      </w:r>
      <w:r>
        <w:t xml:space="preserve"> </w:t>
      </w:r>
      <w:r>
        <w:t xml:space="preserve">This is by far the most significant contributor to the PCF, largely driven by the energy consumption during the product\'s 5-year lifespan and the carbon intensity of China\'s electricity grid.</w:t>
      </w:r>
    </w:p>
    <w:p>
      <w:pPr>
        <w:numPr>
          <w:ilvl w:val="0"/>
          <w:numId w:val="1014"/>
        </w:numPr>
        <w:pStyle w:val="Compact"/>
      </w:pPr>
      <w:r>
        <w:rPr>
          <w:bCs/>
          <w:b/>
        </w:rPr>
        <w:t xml:space="preserve">Materials (2.60 kgCO2e):</w:t>
      </w:r>
      <w:r>
        <w:t xml:space="preserve"> </w:t>
      </w:r>
      <w:r>
        <w:t xml:space="preserve">The production of raw materials, particularly aluminum (illustrative 8.0 kgCO2e/kg), contributes substantially to the upstream emissions.</w:t>
      </w:r>
    </w:p>
    <w:p>
      <w:pPr>
        <w:numPr>
          <w:ilvl w:val="0"/>
          <w:numId w:val="1014"/>
        </w:numPr>
        <w:pStyle w:val="Compact"/>
      </w:pPr>
      <w:r>
        <w:rPr>
          <w:bCs/>
          <w:b/>
        </w:rPr>
        <w:t xml:space="preserve">Production Energy (2.09 kgCO2e):</w:t>
      </w:r>
      <w:r>
        <w:t xml:space="preserve"> </w:t>
      </w:r>
      <w:r>
        <w:t xml:space="preserve">Despite 75% renewable energy usage, the remaining 25% powered by the grid in China still represents a notable emission source.</w:t>
      </w:r>
    </w:p>
    <w:bookmarkEnd w:id="38"/>
    <w:bookmarkStart w:id="39" w:name="reliability-and-limitations"/>
    <w:p>
      <w:pPr>
        <w:pStyle w:val="Heading4"/>
      </w:pPr>
      <w:r>
        <w:t xml:space="preserve">Reliability and Limitations:</w:t>
      </w:r>
    </w:p>
    <w:p>
      <w:pPr>
        <w:pStyle w:val="FirstParagraph"/>
      </w:pPr>
      <w:r>
        <w:t xml:space="preserve">The reliability of this PCF analysis is contingent upon the accuracy and representativeness of the input data.</w:t>
      </w:r>
    </w:p>
    <w:p>
      <w:pPr>
        <w:numPr>
          <w:ilvl w:val="0"/>
          <w:numId w:val="1015"/>
        </w:numPr>
        <w:pStyle w:val="Compact"/>
      </w:pPr>
      <w:r>
        <w:t xml:space="preserve">The use of specific, high-detail BOM parameters (ID, Description, Category, Process, Qty, Unit, Emission Factor, Total Carbon) for materials enhances the accuracy for this segment.</w:t>
      </w:r>
    </w:p>
    <w:p>
      <w:pPr>
        <w:numPr>
          <w:ilvl w:val="0"/>
          <w:numId w:val="1015"/>
        </w:numPr>
        <w:pStyle w:val="Compact"/>
      </w:pPr>
      <w:r>
        <w:t xml:space="preserve">Illustrative emission factors, while industry-standard, may not perfectly reflect the specific suppliers or processes of</w:t>
      </w:r>
      <w:r>
        <w:t xml:space="preserve"> </w:t>
      </w:r>
      <w:r>
        <w:rPr>
          <w:bCs/>
          <w:b/>
        </w:rPr>
        <w:t xml:space="preserve">lmfhtndnin</w:t>
      </w:r>
      <w:r>
        <w:t xml:space="preserve">. Where generic input strings were provided (e.g., "qhtglgml", "Select Mode"), representative placeholder values were used for calculation.</w:t>
      </w:r>
    </w:p>
    <w:p>
      <w:pPr>
        <w:numPr>
          <w:ilvl w:val="0"/>
          <w:numId w:val="1015"/>
        </w:numPr>
        <w:pStyle w:val="Compact"/>
      </w:pPr>
      <w:r>
        <w:t xml:space="preserve">The expansion of the system boundary beyond \'factory_gate\' to include Use Phase and End-of-Life provides a more comprehensive view but relies on assumptions for product usage patterns and EoL infrastructure.</w:t>
      </w:r>
    </w:p>
    <w:p>
      <w:pPr>
        <w:numPr>
          <w:ilvl w:val="0"/>
          <w:numId w:val="1015"/>
        </w:numPr>
        <w:pStyle w:val="Compact"/>
      </w:pPr>
      <w:r>
        <w:t xml:space="preserve">Future improvements could involve collecting more primary data from specific suppliers for all material inputs, precise fuel consumption data for transportation, and actual user profiles for the use phase.</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ntdggjoluf</dc:title>
  <dc:creator/>
  <dc:description>High-detail Product Carbon Footprint (PCF) analysis for ntdggjoluf by hvjvnuhgyd, Senior Sustainability Consultant, specializing in GHG Protocol for lmfhtndnin.</dc:description>
  <dc:language>en</dc:language>
  <cp:keywords/>
  <dcterms:created xsi:type="dcterms:W3CDTF">2026-07-15T02:04:50Z</dcterms:created>
  <dcterms:modified xsi:type="dcterms:W3CDTF">2026-07-15T02:04:50Z</dcterms:modified>
</cp:coreProperties>
</file>

<file path=docProps/custom.xml><?xml version="1.0" encoding="utf-8"?>
<Properties xmlns="http://schemas.openxmlformats.org/officeDocument/2006/custom-properties" xmlns:vt="http://schemas.openxmlformats.org/officeDocument/2006/docPropsVTypes"/>
</file>