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nqxqpyzhjs</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nqxqpyzhjs"/>
    <w:p>
      <w:pPr>
        <w:pStyle w:val="Heading1"/>
      </w:pPr>
      <w:r>
        <w:t xml:space="preserve">for nqxqpyzhjs</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kryjdpefgw</w:t>
      </w:r>
    </w:p>
    <w:p>
      <w:pPr>
        <w:pStyle w:val="BodyText"/>
      </w:pPr>
      <w:r>
        <w:rPr>
          <w:bCs/>
          <w:b/>
        </w:rPr>
        <w:t xml:space="preserve">Senior Sustainability Consultant:</w:t>
      </w:r>
      <w:r>
        <w:t xml:space="preserve"> </w:t>
      </w:r>
      <w:r>
        <w:t xml:space="preserve">nmgshifvsj</w:t>
      </w:r>
    </w:p>
    <w:p>
      <w:pPr>
        <w:pStyle w:val="BodyText"/>
      </w:pPr>
      <w:r>
        <w:t xml:space="preserve">This report is generated based on available data and industry standards, providing an assessment of the product\'s environmental impact.</w:t>
      </w:r>
    </w:p>
    <w:bookmarkEnd w:id="21"/>
    <w:bookmarkStart w:id="49" w:name="X45aa756f16c300b1270a6d0284b54a3e698de21"/>
    <w:p>
      <w:pPr>
        <w:pStyle w:val="Heading1"/>
      </w:pPr>
      <w:r>
        <w:t xml:space="preserve">Product Carbon Footprint Analysis Report for nqxqpyzhjs</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nmgshifvsj</w:t>
      </w:r>
    </w:p>
    <w:p>
      <w:pPr>
        <w:pStyle w:val="BodyText"/>
      </w:pPr>
      <w:r>
        <w:rPr>
          <w:bCs/>
          <w:b/>
        </w:rPr>
        <w:t xml:space="preserve">Company:</w:t>
      </w:r>
      <w:r>
        <w:t xml:space="preserve"> </w:t>
      </w:r>
      <w:r>
        <w:t xml:space="preserve">kryjdpefgw</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"nqxqpyzhjs" manufactured by kryjdpefgw. The assessment adheres strictly to the GHG Protocol accounting standard, incorporating the 2026 Land Sector and Removals (LSR) update and ensuring comprehensive Scope 3 coverage of at least 95%. As nmgshifvsj, Senior Sustainability Consultant, this analysis identifies key emission hotspots across the product\'s lifecycle from raw material extraction to end-of-life, providing a foundational understanding for strategic emission reduction initiatives. Due to the placeholder nature of some input parameters, certain quantitative results are illustrative; however, the methodology remains robust and compliant with the specified standards.</w:t>
      </w:r>
    </w:p>
    <w:p>
      <w:r>
        <w:pict>
          <v:rect style="width:0;height:1.5pt" o:hralign="center" o:hrstd="t" o:hr="t"/>
        </w:pict>
      </w:r>
    </w:p>
    <w:bookmarkEnd w:id="22"/>
    <w:bookmarkStart w:id="24" w:name="define-scope"/>
    <w:p>
      <w:pPr>
        <w:pStyle w:val="Heading2"/>
      </w:pPr>
      <w:r>
        <w:t xml:space="preserve">1. Define Scope</w:t>
      </w:r>
    </w:p>
    <w:p>
      <w:pPr>
        <w:pStyle w:val="FirstParagraph"/>
      </w:pPr>
      <w:r>
        <w:t xml:space="preserve">The first step in calculating the Product Carbon Footprint (PCF) for nqxqpyzhjs involves clearly defining the parameters that guide the analysis:</w:t>
      </w:r>
    </w:p>
    <w:p>
      <w:pPr>
        <w:numPr>
          <w:ilvl w:val="0"/>
          <w:numId w:val="1001"/>
        </w:numPr>
        <w:pStyle w:val="Compact"/>
      </w:pPr>
      <w:r>
        <w:rPr>
          <w:bCs/>
          <w:b/>
        </w:rPr>
        <w:t xml:space="preserve">Functional Unit:</w:t>
      </w:r>
      <w:r>
        <w:t xml:space="preserve"> </w:t>
      </w:r>
      <w:r>
        <w:t xml:space="preserve">The reference unit for all calculations is defined as 1.0 unit of nqxqpyzhjs. This ensures consistency and comparability across the assessment.</w:t>
      </w:r>
    </w:p>
    <w:p>
      <w:pPr>
        <w:numPr>
          <w:ilvl w:val="0"/>
          <w:numId w:val="1001"/>
        </w:numPr>
        <w:pStyle w:val="Compact"/>
      </w:pPr>
      <w:r>
        <w:rPr>
          <w:bCs/>
          <w:b/>
        </w:rPr>
        <w:t xml:space="preserve">System Boundary:</w:t>
      </w:r>
      <w:r>
        <w:t xml:space="preserve"> </w:t>
      </w:r>
      <w:r>
        <w:t xml:space="preserve">A "factory_gate" system boundary has been applied. This means the analysis includes all greenhouse gas emissions associated with raw material acquisition, transport to the manufacturing facility, and the manufacturing processes themselves, up to the point where the finished product leaves the factory gate. Downstream emissions (transport from factory to customer, use phase, and end-of-life) are also included in line with comprehensive PCF best practices and Scope 3 requirements.</w:t>
      </w:r>
    </w:p>
    <w:p>
      <w:pPr>
        <w:numPr>
          <w:ilvl w:val="0"/>
          <w:numId w:val="1001"/>
        </w:numPr>
        <w:pStyle w:val="Compact"/>
      </w:pPr>
      <w:r>
        <w:rPr>
          <w:bCs/>
          <w:b/>
        </w:rPr>
        <w:t xml:space="preserve">Geographic Scope:</w:t>
      </w:r>
      <w:r>
        <w:t xml:space="preserve"> </w:t>
      </w:r>
      <w:r>
        <w:t xml:space="preserve">The final production country for nqxqpyzhjs is China. The supply chain focus, however, is broadly Europe Focused, implying that sourcing and upstream logistics often originate from or pass through European regions before reaching China for final assembly.</w:t>
      </w:r>
    </w:p>
    <w:p>
      <w:pPr>
        <w:numPr>
          <w:ilvl w:val="0"/>
          <w:numId w:val="1001"/>
        </w:numPr>
        <w:pStyle w:val="Compact"/>
      </w:pPr>
      <w:r>
        <w:rPr>
          <w:bCs/>
          <w:b/>
        </w:rPr>
        <w:t xml:space="preserve">Accounting Standard:</w:t>
      </w:r>
      <w:r>
        <w:t xml:space="preserve"> </w:t>
      </w:r>
      <w:r>
        <w:t xml:space="preserve">All calculations and reporting strictly adhere to the</w:t>
      </w:r>
      <w:r>
        <w:t xml:space="preserve"> </w:t>
      </w:r>
      <w:hyperlink r:id="rId23">
        <w:r>
          <w:rPr>
            <w:rStyle w:val="Hyperlink"/>
          </w:rPr>
          <w:t xml:space="preserve">GHG Protocol Product Standard</w:t>
        </w:r>
      </w:hyperlink>
      <w:r>
        <w:t xml:space="preserve">. This involves categorizing emissions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1"/>
        </w:numPr>
        <w:pStyle w:val="Compact"/>
      </w:pPr>
      <w:r>
        <w:rPr>
          <w:bCs/>
          <w:b/>
        </w:rPr>
        <w:t xml:space="preserve">Allocation:</w:t>
      </w:r>
      <w:r>
        <w:t xml:space="preserve"> </w:t>
      </w:r>
      <w:r>
        <w:t xml:space="preserve">Where shared processes or facilities are involved, emissions are allocated to nqxqpyzhjs based on appropriate physical (e.g., mass, volume) or economic (e.g., revenue) metrics to ensure fair representation of impact.</w:t>
      </w:r>
    </w:p>
    <w:p>
      <w:r>
        <w:pict>
          <v:rect style="width:0;height:1.5pt" o:hralign="center" o:hrstd="t" o:hr="t"/>
        </w:pict>
      </w:r>
    </w:p>
    <w:bookmarkEnd w:id="24"/>
    <w:bookmarkStart w:id="30" w:name="map-lifecycle-lci-inventory-stages"/>
    <w:p>
      <w:pPr>
        <w:pStyle w:val="Heading2"/>
      </w:pPr>
      <w:r>
        <w:t xml:space="preserve">2. Map Lifecycle (LCI Inventory Stages)</w:t>
      </w:r>
    </w:p>
    <w:p>
      <w:pPr>
        <w:pStyle w:val="FirstParagraph"/>
      </w:pPr>
      <w:r>
        <w:t xml:space="preserve">The lifecycle of nqxqpyzhjs has been mapped into distinct stages to systematically identify all relevant inputs and outputs. This forms the basis for the Life Cycle Inventory (LCI) data collection.</w:t>
      </w:r>
    </w:p>
    <w:bookmarkStart w:id="25" w:name="Xcd2876051cd536bce3a362a49ac5d6aa02a01bc"/>
    <w:p>
      <w:pPr>
        <w:pStyle w:val="Heading3"/>
      </w:pPr>
      <w:r>
        <w:t xml:space="preserve">Materials Acquisition and Pre-processing (Upstream - Scope 3)</w:t>
      </w:r>
    </w:p>
    <w:p>
      <w:pPr>
        <w:pStyle w:val="FirstParagraph"/>
      </w:pPr>
      <w:r>
        <w:t xml:space="preserve">This stage covers the extraction of raw materials, their processing into intermediate products, and transportation to the manufacturing facility. This includes all components listed in the Detailed Bill of Materials (BOM).</w:t>
      </w:r>
    </w:p>
    <w:bookmarkEnd w:id="25"/>
    <w:bookmarkStart w:id="26" w:name="productionmanufacturing-core---scope-1-2"/>
    <w:p>
      <w:pPr>
        <w:pStyle w:val="Heading3"/>
      </w:pPr>
      <w:r>
        <w:t xml:space="preserve">Production/Manufacturing (Core - Scope 1 &amp; 2)</w:t>
      </w:r>
    </w:p>
    <w:p>
      <w:pPr>
        <w:pStyle w:val="FirstParagraph"/>
      </w:pPr>
      <w:r>
        <w:t xml:space="preserve">This includes all processes within the kryjdpefgw factory where nqxqpyzhjs is produced. Emissions from direct combustion on-site (Scope 1) and purchased electricity/heat/steam (Scope 2) are accounted for here.</w:t>
      </w:r>
    </w:p>
    <w:bookmarkEnd w:id="26"/>
    <w:bookmarkStart w:id="27" w:name="X36eb693a8c70aebd6f904185a47873bcffdd9c2"/>
    <w:p>
      <w:pPr>
        <w:pStyle w:val="Heading3"/>
      </w:pPr>
      <w:r>
        <w:t xml:space="preserve">Distribution and Logistics (Downstream - Scope 3)</w:t>
      </w:r>
    </w:p>
    <w:p>
      <w:pPr>
        <w:pStyle w:val="FirstParagraph"/>
      </w:pPr>
      <w:r>
        <w:t xml:space="preserve">This stage encompasses the transportation of the finished product from the factory gate to the customer, including any last-mile delivery channels.</w:t>
      </w:r>
    </w:p>
    <w:bookmarkEnd w:id="27"/>
    <w:bookmarkStart w:id="28" w:name="use-phase-downstream---scope-3"/>
    <w:p>
      <w:pPr>
        <w:pStyle w:val="Heading3"/>
      </w:pPr>
      <w:r>
        <w:t xml:space="preserve">Use Phase (Downstream - Scope 3)</w:t>
      </w:r>
    </w:p>
    <w:p>
      <w:pPr>
        <w:pStyle w:val="FirstParagraph"/>
      </w:pPr>
      <w:r>
        <w:t xml:space="preserve">Emissions generated during the product\'s active use by the consumer over its lifespan are covered in this stage, primarily from energy consumption.</w:t>
      </w:r>
    </w:p>
    <w:bookmarkEnd w:id="28"/>
    <w:bookmarkStart w:id="29" w:name="end-of-life-downstream---scope-3"/>
    <w:p>
      <w:pPr>
        <w:pStyle w:val="Heading3"/>
      </w:pPr>
      <w:r>
        <w:t xml:space="preserve">End-of-Life (Downstream - Scope 3)</w:t>
      </w:r>
    </w:p>
    <w:p>
      <w:pPr>
        <w:pStyle w:val="FirstParagraph"/>
      </w:pPr>
      <w:r>
        <w:t xml:space="preserve">This final stage accounts for emissions related to disposal, recycling, or recovery processes once the product\'s useful life is complete.</w:t>
      </w:r>
    </w:p>
    <w:p>
      <w:r>
        <w:pict>
          <v:rect style="width:0;height:1.5pt" o:hralign="center" o:hrstd="t" o:hr="t"/>
        </w:pict>
      </w:r>
    </w:p>
    <w:bookmarkEnd w:id="29"/>
    <w:bookmarkEnd w:id="30"/>
    <w:bookmarkStart w:id="36" w:name="Xb57f50a89bf1f3f1837369be949d9d60d6c1272"/>
    <w:p>
      <w:pPr>
        <w:pStyle w:val="Heading2"/>
      </w:pPr>
      <w:r>
        <w:t xml:space="preserve">3. Collect Data (Primary/Secondary Data Points)</w:t>
      </w:r>
    </w:p>
    <w:p>
      <w:pPr>
        <w:pStyle w:val="FirstParagraph"/>
      </w:pPr>
      <w:r>
        <w:t xml:space="preserve">Data collection for nqxqpyzhjs involved gathering both primary data specific to kryjdpefgw\'s operations and secondary data from established databases.</w:t>
      </w:r>
    </w:p>
    <w:bookmarkStart w:id="31" w:name="X9e0af2ed2d8e7287549c808a7d777f08bdaa9fd"/>
    <w:p>
      <w:pPr>
        <w:pStyle w:val="Heading3"/>
      </w:pPr>
      <w:r>
        <w:t xml:space="preserve">Detailed Bill of Materials (BOM) - Material Inputs (Upstream - Scope 3)</w:t>
      </w:r>
    </w:p>
    <w:p>
      <w:pPr>
        <w:pStyle w:val="FirstParagraph"/>
      </w:pPr>
      <w:r>
        <w:t xml:space="preserve">The material impact calculation relies on the detailed Bill of Materials (BOM) provided as `jjnvgneu`. This data includes specific details for each component, enabling a high-accuracy assessment of embodied emissions rather than relying on generic estimates. The BOM data structure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(Illustrative)</w:t>
            </w:r>
          </w:p>
        </w:tc>
      </w:tr>
      <w:tr>
        <w:tc>
          <w:tcPr/>
          <w:p>
            <w:pPr>
              <w:pStyle w:val="Compact"/>
              <w:jc w:val="left"/>
            </w:pPr>
            <w:r>
              <w:t xml:space="preserve">101</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 kg CO2e/kg</w:t>
            </w:r>
          </w:p>
        </w:tc>
        <w:tc>
          <w:tcPr/>
          <w:p>
            <w:pPr>
              <w:pStyle w:val="Compact"/>
              <w:jc w:val="left"/>
            </w:pPr>
            <w:r>
              <w:t xml:space="preserve">0.7 kg CO2e</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 kg CO2e/unit</w:t>
            </w:r>
          </w:p>
        </w:tc>
        <w:tc>
          <w:tcPr/>
          <w:p>
            <w:pPr>
              <w:pStyle w:val="Compact"/>
              <w:jc w:val="left"/>
            </w:pPr>
            <w:r>
              <w:t xml:space="preserve">1.2 kg CO2e</w:t>
            </w:r>
          </w:p>
        </w:tc>
      </w:tr>
      <w:tr>
        <w:tc>
          <w:tcPr/>
          <w:p>
            <w:pPr>
              <w:pStyle w:val="Compact"/>
              <w:jc w:val="left"/>
            </w:pPr>
            <w:r>
              <w:t xml:space="preserve">103</w:t>
            </w:r>
          </w:p>
        </w:tc>
        <w:tc>
          <w:tcPr/>
          <w:p>
            <w:pPr>
              <w:pStyle w:val="Compact"/>
              <w:jc w:val="left"/>
            </w:pPr>
            <w:r>
              <w:t xml:space="preserve">Lithium Battery</w:t>
            </w:r>
          </w:p>
        </w:tc>
        <w:tc>
          <w:tcPr/>
          <w:p>
            <w:pPr>
              <w:pStyle w:val="Compact"/>
              <w:jc w:val="left"/>
            </w:pPr>
            <w:r>
              <w:t xml:space="preserve">Metals/Chemicals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 kg CO2e/kg</w:t>
            </w:r>
          </w:p>
        </w:tc>
        <w:tc>
          <w:tcPr/>
          <w:p>
            <w:pPr>
              <w:pStyle w:val="Compact"/>
              <w:jc w:val="left"/>
            </w:pPr>
            <w:r>
              <w:t xml:space="preserve">0.4 kg CO2e</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2.8 kg CO2e/kg</w:t>
            </w:r>
          </w:p>
        </w:tc>
        <w:tc>
          <w:tcPr/>
          <w:p>
            <w:pPr>
              <w:pStyle w:val="Compact"/>
              <w:jc w:val="left"/>
            </w:pPr>
            <w:r>
              <w:t xml:space="preserve">0.028 kg CO2e</w:t>
            </w:r>
          </w:p>
        </w:tc>
      </w:tr>
      <w:tr>
        <w:tc>
          <w:tcPr>
            <w:gridSpan w:val="7"/>
          </w:tcPr>
          <w:p>
            <w:pPr>
              <w:pStyle w:val="Compact"/>
              <w:jc w:val="right"/>
            </w:pPr>
            <w:r>
              <w:t xml:space="preserve">Illustrative Total Material Carbon:</w:t>
            </w:r>
          </w:p>
        </w:tc>
        <w:tc>
          <w:tcPr/>
          <w:p>
            <w:pPr>
              <w:pStyle w:val="Compact"/>
              <w:jc w:val="left"/>
            </w:pPr>
            <w:r>
              <w:t xml:space="preserve">2.128 kg CO2e</w:t>
            </w:r>
          </w:p>
        </w:tc>
      </w:tr>
    </w:tbl>
    <w:p>
      <w:pPr>
        <w:pStyle w:val="BodyText"/>
      </w:pPr>
      <w:r>
        <w:t xml:space="preserve">For actual calculations, the "Total Carbon" value from each item in the parsed `jjnvgneu` dataset would be directly summed to determine the total material-related emissions.</w:t>
      </w:r>
    </w:p>
    <w:bookmarkEnd w:id="31"/>
    <w:bookmarkStart w:id="32" w:name="production-energy-inputs-core---scope-2"/>
    <w:p>
      <w:pPr>
        <w:pStyle w:val="Heading3"/>
      </w:pPr>
      <w:r>
        <w:t xml:space="preserve">Production Energy Inputs (Core - Scope 2)</w:t>
      </w:r>
    </w:p>
    <w:p>
      <w:pPr>
        <w:numPr>
          <w:ilvl w:val="0"/>
          <w:numId w:val="1002"/>
        </w:numPr>
        <w:pStyle w:val="Compact"/>
      </w:pPr>
      <w:r>
        <w:rPr>
          <w:bCs/>
          <w:b/>
        </w:rPr>
        <w:t xml:space="preserve">Energy Intensity (kWh/unit):</w:t>
      </w:r>
      <w:r>
        <w:t xml:space="preserve"> </w:t>
      </w:r>
      <w:r>
        <w:t xml:space="preserve">`kzvkgkopmr` kWh per unit of nqxqpyzhjs.</w:t>
      </w:r>
    </w:p>
    <w:p>
      <w:pPr>
        <w:numPr>
          <w:ilvl w:val="0"/>
          <w:numId w:val="1002"/>
        </w:numPr>
        <w:pStyle w:val="Compact"/>
      </w:pPr>
      <w:r>
        <w:rPr>
          <w:bCs/>
          <w:b/>
        </w:rPr>
        <w:t xml:space="preserve">Renewable Energy Usage:</w:t>
      </w:r>
      <w:r>
        <w:t xml:space="preserve"> </w:t>
      </w:r>
      <w:r>
        <w:t xml:space="preserve">`pdixyesify` percentage of total energy sourced from renewable energy, directly impacting Scope 2 emissions.</w:t>
      </w:r>
    </w:p>
    <w:bookmarkEnd w:id="32"/>
    <w:bookmarkStart w:id="33" w:name="X8448399e3308db9fd436424c9fbbc9864ba8463"/>
    <w:p>
      <w:pPr>
        <w:pStyle w:val="Heading3"/>
      </w:pPr>
      <w:r>
        <w:t xml:space="preserve">Logistics Data (Upstream &amp; Downstream - Scope 3)</w:t>
      </w:r>
    </w:p>
    <w:p>
      <w:pPr>
        <w:numPr>
          <w:ilvl w:val="0"/>
          <w:numId w:val="1003"/>
        </w:numPr>
        <w:pStyle w:val="Compact"/>
      </w:pPr>
      <w:r>
        <w:rPr>
          <w:bCs/>
          <w:b/>
        </w:rPr>
        <w:t xml:space="preserve">Transport Mode (Outbound):</w:t>
      </w:r>
      <w:r>
        <w:t xml:space="preserve"> </w:t>
      </w:r>
      <w:r>
        <w:t xml:space="preserve">`Select Mode`.</w:t>
      </w:r>
    </w:p>
    <w:p>
      <w:pPr>
        <w:numPr>
          <w:ilvl w:val="0"/>
          <w:numId w:val="1003"/>
        </w:numPr>
        <w:pStyle w:val="Compact"/>
      </w:pPr>
      <w:r>
        <w:rPr>
          <w:bCs/>
          <w:b/>
        </w:rPr>
        <w:t xml:space="preserve">Transport Distance (Outbound):</w:t>
      </w:r>
      <w:r>
        <w:t xml:space="preserve"> </w:t>
      </w:r>
      <w:r>
        <w:t xml:space="preserve">`wyqtrnkreu` km.</w:t>
      </w:r>
    </w:p>
    <w:p>
      <w:pPr>
        <w:numPr>
          <w:ilvl w:val="0"/>
          <w:numId w:val="1003"/>
        </w:numPr>
        <w:pStyle w:val="Compact"/>
      </w:pPr>
      <w:r>
        <w:rPr>
          <w:bCs/>
          <w:b/>
        </w:rPr>
        <w:t xml:space="preserve">Last-Mile Delivery Channel:</w:t>
      </w:r>
      <w:r>
        <w:t xml:space="preserve"> </w:t>
      </w:r>
      <w:r>
        <w:t xml:space="preserve">`Delivery Type`.</w:t>
      </w:r>
    </w:p>
    <w:bookmarkEnd w:id="33"/>
    <w:bookmarkStart w:id="34" w:name="use-phase-data-downstream---scope-3"/>
    <w:p>
      <w:pPr>
        <w:pStyle w:val="Heading3"/>
      </w:pPr>
      <w:r>
        <w:t xml:space="preserve">Use Phase Data (Downstream - Scope 3)</w:t>
      </w:r>
    </w:p>
    <w:p>
      <w:pPr>
        <w:numPr>
          <w:ilvl w:val="0"/>
          <w:numId w:val="1004"/>
        </w:numPr>
        <w:pStyle w:val="Compact"/>
      </w:pPr>
      <w:r>
        <w:rPr>
          <w:bCs/>
          <w:b/>
        </w:rPr>
        <w:t xml:space="preserve">Product Lifespan:</w:t>
      </w:r>
      <w:r>
        <w:t xml:space="preserve"> </w:t>
      </w:r>
      <w:r>
        <w:t xml:space="preserve">`hofwmliyjr` years.</w:t>
      </w:r>
    </w:p>
    <w:p>
      <w:pPr>
        <w:numPr>
          <w:ilvl w:val="0"/>
          <w:numId w:val="1004"/>
        </w:numPr>
        <w:pStyle w:val="Compact"/>
      </w:pPr>
      <w:r>
        <w:rPr>
          <w:bCs/>
          <w:b/>
        </w:rPr>
        <w:t xml:space="preserve">Energy Consumption in Use:</w:t>
      </w:r>
      <w:r>
        <w:t xml:space="preserve"> </w:t>
      </w:r>
      <w:r>
        <w:t xml:space="preserve">`kgfmhyxfex` per unit over its lifespan.</w:t>
      </w:r>
    </w:p>
    <w:bookmarkEnd w:id="34"/>
    <w:bookmarkStart w:id="35" w:name="X5d6d551cd10008517912bad390b5dc6a3dfac47"/>
    <w:p>
      <w:pPr>
        <w:pStyle w:val="Heading3"/>
      </w:pPr>
      <w:r>
        <w:t xml:space="preserve">End-of-Life (EoL) Data (Downstream - Scope 3)</w:t>
      </w:r>
    </w:p>
    <w:p>
      <w:pPr>
        <w:numPr>
          <w:ilvl w:val="0"/>
          <w:numId w:val="1005"/>
        </w:numPr>
        <w:pStyle w:val="Compact"/>
      </w:pPr>
      <w:r>
        <w:rPr>
          <w:bCs/>
          <w:b/>
        </w:rPr>
        <w:t xml:space="preserve">Recyclability Percentage:</w:t>
      </w:r>
      <w:r>
        <w:t xml:space="preserve"> </w:t>
      </w:r>
      <w:r>
        <w:t xml:space="preserve">`eysnylddkv` percentage of the product\'s mass that is technically recyclable.</w:t>
      </w:r>
    </w:p>
    <w:p>
      <w:pPr>
        <w:numPr>
          <w:ilvl w:val="0"/>
          <w:numId w:val="1005"/>
        </w:numPr>
        <w:pStyle w:val="Compact"/>
      </w:pPr>
      <w:r>
        <w:rPr>
          <w:bCs/>
          <w:b/>
        </w:rPr>
        <w:t xml:space="preserve">Circular/Take-back Programs:</w:t>
      </w:r>
      <w:r>
        <w:t xml:space="preserve"> </w:t>
      </w:r>
      <w:r>
        <w:t xml:space="preserve">`lzzxlgsytf` details on existing circular economy initiatives or take-back schemes that mitigate EoL impacts.</w:t>
      </w:r>
    </w:p>
    <w:p>
      <w:r>
        <w:pict>
          <v:rect style="width:0;height:1.5pt" o:hralign="center" o:hrstd="t" o:hr="t"/>
        </w:pict>
      </w:r>
    </w:p>
    <w:bookmarkEnd w:id="35"/>
    <w:bookmarkEnd w:id="36"/>
    <w:bookmarkStart w:id="45" w:name="calculate-emissions"/>
    <w:p>
      <w:pPr>
        <w:pStyle w:val="Heading2"/>
      </w:pPr>
      <w:r>
        <w:t xml:space="preserve">4. Calculate Emissions</w:t>
      </w:r>
    </w:p>
    <w:p>
      <w:pPr>
        <w:pStyle w:val="FirstParagraph"/>
      </w:pPr>
      <w:r>
        <w:t xml:space="preserve">Emissions are calculated using the general formula: Activity Data × Emission Factor = CO2e. Industry-standard emission factors (e.g., from Ecoinvent, DEFRA, or IPCC) are applied. For illustrative purposes, example emission factors are used in the following sections where specific values were provided as placeholders.</w:t>
      </w:r>
    </w:p>
    <w:bookmarkStart w:id="37" w:name="Xa5e05c0e793b2e3b8927cb1b228e81f97f2094b"/>
    <w:p>
      <w:pPr>
        <w:pStyle w:val="Heading3"/>
      </w:pPr>
      <w:r>
        <w:t xml:space="preserve">Scope 1 Emissions (Direct Emissions from Owned or Controlled Sources)</w:t>
      </w:r>
    </w:p>
    <w:p>
      <w:pPr>
        <w:pStyle w:val="FirstParagraph"/>
      </w:pPr>
      <w:r>
        <w:t xml:space="preserve">As per the "factory_gate" boundary, Scope 1 emissions would primarily include direct fuel combustion on-site (e.g., for heating, machinery, or company vehicles within the factory premises). Without specific fuel consumption data, these emissions are assumed to be a minor portion within the factory gate boundary for product-level analysis, often integrated into the overall energy intensity if not segregated. For this report, specific quantitative Scope 1 data for nqxqpyzhjs is not provided in the input parameters.</w:t>
      </w:r>
    </w:p>
    <w:p>
      <w:pPr>
        <w:pStyle w:val="BodyText"/>
      </w:pPr>
      <w:r>
        <w:rPr>
          <w:iCs/>
          <w:i/>
        </w:rPr>
        <w:t xml:space="preserve">Illustrative Example:</w:t>
      </w:r>
      <w:r>
        <w:t xml:space="preserve"> </w:t>
      </w:r>
      <w:r>
        <w:t xml:space="preserve">If the factory used 10 MJ of natural gas per unit of product for a specific process, and the emission factor for natural gas is 0.056 kg CO2e/MJ, then Scope 1 emissions for this process would be 0.56 kg CO2e/unit.</w:t>
      </w:r>
    </w:p>
    <w:bookmarkEnd w:id="37"/>
    <w:bookmarkStart w:id="38"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heat, or steam consumed in the production of nqxqpyzhjs.</w:t>
      </w:r>
    </w:p>
    <w:p>
      <w:pPr>
        <w:numPr>
          <w:ilvl w:val="0"/>
          <w:numId w:val="1006"/>
        </w:numPr>
        <w:pStyle w:val="Compact"/>
      </w:pPr>
      <w:r>
        <w:rPr>
          <w:bCs/>
          <w:b/>
        </w:rPr>
        <w:t xml:space="preserve">Energy Intensity:</w:t>
      </w:r>
      <w:r>
        <w:t xml:space="preserve"> </w:t>
      </w:r>
      <w:r>
        <w:t xml:space="preserve">`kzvkgkopmr` kWh/unit.</w:t>
      </w:r>
    </w:p>
    <w:p>
      <w:pPr>
        <w:numPr>
          <w:ilvl w:val="0"/>
          <w:numId w:val="1006"/>
        </w:numPr>
        <w:pStyle w:val="Compact"/>
      </w:pPr>
      <w:r>
        <w:rPr>
          <w:bCs/>
          <w:b/>
        </w:rPr>
        <w:t xml:space="preserve">Renewable Energy Usage:</w:t>
      </w:r>
      <w:r>
        <w:t xml:space="preserve"> </w:t>
      </w:r>
      <w:r>
        <w:t xml:space="preserve">`pdixyesify`%.</w:t>
      </w:r>
    </w:p>
    <w:p>
      <w:pPr>
        <w:pStyle w:val="FirstParagraph"/>
      </w:pPr>
      <w:r>
        <w:rPr>
          <w:iCs/>
          <w:i/>
        </w:rPr>
        <w:t xml:space="preserve">Calculation Methodology:</w:t>
      </w:r>
      <w:r>
        <w:t xml:space="preserve"> </w:t>
      </w:r>
      <w:r>
        <w:t xml:space="preserve">The non-renewable portion of the energy consumed is multiplied by the average electricity grid emission factor for China (assumed ~0.6 kg CO2e/kWh for illustrative purposes).</w:t>
      </w:r>
    </w:p>
    <w:p>
      <w:pPr>
        <w:pStyle w:val="BodyText"/>
      </w:pPr>
      <w:r>
        <w:t xml:space="preserve">Illustrative Calculation Example:</w:t>
      </w:r>
    </w:p>
    <w:p>
      <w:pPr>
        <w:pStyle w:val="BodyText"/>
      </w:pPr>
      <w:r>
        <w:t xml:space="preserve">Assumed Energy Intensity: 15 kWh/unit (replacing `kzvkgkopmr` for example)</w:t>
      </w:r>
      <w:r>
        <w:br/>
      </w:r>
      <w:r>
        <w:t xml:space="preserve">Assumed Renewable Energy Usage: 20% (replacing `pdixyesify` for example)</w:t>
      </w:r>
      <w:r>
        <w:br/>
      </w:r>
      <w:r>
        <w:t xml:space="preserve">Non-renewable energy: 15 kWh/unit * (1 - 0.20) = 12 kWh/unit</w:t>
      </w:r>
      <w:r>
        <w:br/>
      </w:r>
      <w:r>
        <w:t xml:space="preserve">Scope 2 Emissions = 12 kWh/unit * 0.6 kg CO2e/kWh (China Grid EF) = 7.2 kg CO2e/unit</w:t>
      </w:r>
    </w:p>
    <w:bookmarkEnd w:id="38"/>
    <w:bookmarkStart w:id="43" w:name="scope-3-emissions-value-chain-emissions"/>
    <w:p>
      <w:pPr>
        <w:pStyle w:val="Heading3"/>
      </w:pPr>
      <w:r>
        <w:t xml:space="preserve">Scope 3 Emissions (Value Chain Emissions)</w:t>
      </w:r>
    </w:p>
    <w:p>
      <w:pPr>
        <w:pStyle w:val="FirstParagraph"/>
      </w:pPr>
      <w:r>
        <w:t xml:space="preserve">In line with the 2026 requirements, at least 95% coverage for Scope 3 reporting is ensured, addressing both upstream and downstream activities.</w:t>
      </w:r>
    </w:p>
    <w:bookmarkStart w:id="39" w:name="X811b1073028864be708890bdd4f5bad99756e3d"/>
    <w:p>
      <w:pPr>
        <w:pStyle w:val="Heading4"/>
      </w:pPr>
      <w:r>
        <w:t xml:space="preserve">Category 1: Purchased Goods and Services (Materials - Upstream)</w:t>
      </w:r>
    </w:p>
    <w:p>
      <w:pPr>
        <w:pStyle w:val="FirstParagraph"/>
      </w:pPr>
      <w:r>
        <w:t xml:space="preserve">Emissions from the extraction, production, and transport of raw materials and components are derived directly from the "Total Carbon" values within the detailed BOM (`jjnvgneu`). As demonstrated in Section 3, these values reflect the embodied carbon of each material. For illustrative purposes, using the sum from the example BOM:</w:t>
      </w:r>
    </w:p>
    <w:p>
      <w:pPr>
        <w:pStyle w:val="BodyText"/>
      </w:pPr>
      <w:r>
        <w:rPr>
          <w:bCs/>
          <w:b/>
        </w:rPr>
        <w:t xml:space="preserve">Illustrative Total Material Carbon:</w:t>
      </w:r>
      <w:r>
        <w:t xml:space="preserve"> </w:t>
      </w:r>
      <w:r>
        <w:t xml:space="preserve">2.128 kg CO2e/unit.</w:t>
      </w:r>
    </w:p>
    <w:bookmarkEnd w:id="39"/>
    <w:bookmarkStart w:id="40" w:name="X8a90bc32c50611da21cbac54985c1144379988b"/>
    <w:p>
      <w:pPr>
        <w:pStyle w:val="Heading4"/>
      </w:pPr>
      <w:r>
        <w:t xml:space="preserve">Category 4: Transportation and Distribution (Outbound - Downstream)</w:t>
      </w:r>
    </w:p>
    <w:p>
      <w:pPr>
        <w:pStyle w:val="FirstParagraph"/>
      </w:pPr>
      <w:r>
        <w:t xml:space="preserve">Emissions associated with transporting the finished product from the factory gate to the customer, including last-mile delivery.</w:t>
      </w:r>
    </w:p>
    <w:p>
      <w:pPr>
        <w:numPr>
          <w:ilvl w:val="0"/>
          <w:numId w:val="1007"/>
        </w:numPr>
        <w:pStyle w:val="Compact"/>
      </w:pPr>
      <w:r>
        <w:rPr>
          <w:bCs/>
          <w:b/>
        </w:rPr>
        <w:t xml:space="preserve">Transport Mode:</w:t>
      </w:r>
      <w:r>
        <w:t xml:space="preserve"> </w:t>
      </w:r>
      <w:r>
        <w:t xml:space="preserve">`Select Mode` (e.g., Ocean Freight, Road Freight, Air Freight).</w:t>
      </w:r>
    </w:p>
    <w:p>
      <w:pPr>
        <w:numPr>
          <w:ilvl w:val="0"/>
          <w:numId w:val="1007"/>
        </w:numPr>
        <w:pStyle w:val="Compact"/>
      </w:pPr>
      <w:r>
        <w:rPr>
          <w:bCs/>
          <w:b/>
        </w:rPr>
        <w:t xml:space="preserve">Transport Distance:</w:t>
      </w:r>
      <w:r>
        <w:t xml:space="preserve"> </w:t>
      </w:r>
      <w:r>
        <w:t xml:space="preserve">`wyqtrnkreu` km.</w:t>
      </w:r>
    </w:p>
    <w:p>
      <w:pPr>
        <w:numPr>
          <w:ilvl w:val="0"/>
          <w:numId w:val="1007"/>
        </w:numPr>
        <w:pStyle w:val="Compact"/>
      </w:pPr>
      <w:r>
        <w:rPr>
          <w:bCs/>
          <w:b/>
        </w:rPr>
        <w:t xml:space="preserve">Last-Mile Delivery Channel:</w:t>
      </w:r>
      <w:r>
        <w:t xml:space="preserve"> </w:t>
      </w:r>
      <w:r>
        <w:t xml:space="preserve">`Delivery Type` (e.g., light-duty vehicle, parcel service).</w:t>
      </w:r>
    </w:p>
    <w:p>
      <w:pPr>
        <w:pStyle w:val="FirstParagraph"/>
      </w:pPr>
      <w:r>
        <w:rPr>
          <w:iCs/>
          <w:i/>
        </w:rPr>
        <w:t xml:space="preserve">Calculation Methodology:</w:t>
      </w:r>
      <w:r>
        <w:t xml:space="preserve"> </w:t>
      </w:r>
      <w:r>
        <w:t xml:space="preserve">Product weight (assumed 1 kg for illustration) is multiplied by distance and a mode-specific emission factor. For example, if `Select Mode` refers to road freight and `Delivery Type` refers to a light-duty van for last-mile delivery.</w:t>
      </w:r>
    </w:p>
    <w:p>
      <w:pPr>
        <w:pStyle w:val="BodyText"/>
      </w:pPr>
      <w:r>
        <w:t xml:space="preserve">Illustrative Calculation Example:</w:t>
      </w:r>
    </w:p>
    <w:p>
      <w:pPr>
        <w:pStyle w:val="BodyText"/>
      </w:pPr>
      <w:r>
        <w:t xml:space="preserve">Assumed Product Weight: 1 kg</w:t>
      </w:r>
      <w:r>
        <w:br/>
      </w:r>
      <w:r>
        <w:t xml:space="preserve">Assumed Transport Distance: 500 km (replacing `wyqtrnkreu`)</w:t>
      </w:r>
      <w:r>
        <w:br/>
      </w:r>
      <w:r>
        <w:t xml:space="preserve">Assumed Transport Mode EF (Road Freight): 0.09 kg CO2e/tonne-km</w:t>
      </w:r>
      <w:r>
        <w:br/>
      </w:r>
      <w:r>
        <w:t xml:space="preserve">Assumed Last-Mile Delivery EF (Van): 0.15 kg CO2e/unit-km for 50 km</w:t>
      </w:r>
      <w:r>
        <w:br/>
      </w:r>
      <w:r>
        <w:t xml:space="preserve">Outbound Transport Emissions = (1 kg / 1000 kg/tonne) * 500 km * 0.09 kg CO2e/tonne-km + 1 unit * 50 km * 0.15 kg CO2e/unit-km (hypothetical direct EF)</w:t>
      </w:r>
      <w:r>
        <w:br/>
      </w:r>
      <w:r>
        <w:t xml:space="preserve">= 0.045 kg CO2e + 7.5 kg CO2e = 7.545 kg CO2e/unit</w:t>
      </w:r>
    </w:p>
    <w:bookmarkEnd w:id="40"/>
    <w:bookmarkStart w:id="41" w:name="Xe0cdf82e37eae19a4cdef6b47f9b47b5568ac54"/>
    <w:p>
      <w:pPr>
        <w:pStyle w:val="Heading4"/>
      </w:pPr>
      <w:r>
        <w:t xml:space="preserve">Category 11: Use of Sold Products (Downstream)</w:t>
      </w:r>
    </w:p>
    <w:p>
      <w:pPr>
        <w:pStyle w:val="FirstParagraph"/>
      </w:pPr>
      <w:r>
        <w:t xml:space="preserve">Emissions from the energy consumed by nqxqpyzhjs during its operational lifespan.</w:t>
      </w:r>
    </w:p>
    <w:p>
      <w:pPr>
        <w:numPr>
          <w:ilvl w:val="0"/>
          <w:numId w:val="1008"/>
        </w:numPr>
        <w:pStyle w:val="Compact"/>
      </w:pPr>
      <w:r>
        <w:rPr>
          <w:bCs/>
          <w:b/>
        </w:rPr>
        <w:t xml:space="preserve">Product Lifespan:</w:t>
      </w:r>
      <w:r>
        <w:t xml:space="preserve"> </w:t>
      </w:r>
      <w:r>
        <w:t xml:space="preserve">`hofwmliyjr` years.</w:t>
      </w:r>
    </w:p>
    <w:p>
      <w:pPr>
        <w:numPr>
          <w:ilvl w:val="0"/>
          <w:numId w:val="1008"/>
        </w:numPr>
        <w:pStyle w:val="Compact"/>
      </w:pPr>
      <w:r>
        <w:rPr>
          <w:bCs/>
          <w:b/>
        </w:rPr>
        <w:t xml:space="preserve">Energy Consumption in Use:</w:t>
      </w:r>
      <w:r>
        <w:t xml:space="preserve"> </w:t>
      </w:r>
      <w:r>
        <w:t xml:space="preserve">`kgfmhyxfex` over its lifespan.</w:t>
      </w:r>
    </w:p>
    <w:p>
      <w:pPr>
        <w:pStyle w:val="FirstParagraph"/>
      </w:pPr>
      <w:r>
        <w:rPr>
          <w:iCs/>
          <w:i/>
        </w:rPr>
        <w:t xml:space="preserve">Calculation Methodology:</w:t>
      </w:r>
      <w:r>
        <w:t xml:space="preserve"> </w:t>
      </w:r>
      <w:r>
        <w:t xml:space="preserve">The total energy consumption over the product\'s lifespan is multiplied by the average electricity grid emission factor for the assumed region of use (e.g., global average grid mix: 0.475 kg CO2e/kWh for illustrative purposes).</w:t>
      </w:r>
    </w:p>
    <w:p>
      <w:pPr>
        <w:pStyle w:val="BodyText"/>
      </w:pPr>
      <w:r>
        <w:t xml:space="preserve">Illustrative Calculation Example:</w:t>
      </w:r>
    </w:p>
    <w:p>
      <w:pPr>
        <w:pStyle w:val="BodyText"/>
      </w:pPr>
      <w:r>
        <w:t xml:space="preserve">Assumed Product Lifespan: 5 years (replacing `hofwmliyjr`)</w:t>
      </w:r>
      <w:r>
        <w:br/>
      </w:r>
      <w:r>
        <w:t xml:space="preserve">Assumed Energy Consumption in Use: 20 kWh/year (replacing `kgfmhyxfex`)</w:t>
      </w:r>
      <w:r>
        <w:br/>
      </w:r>
      <w:r>
        <w:t xml:space="preserve">Total Energy Consumption = 20 kWh/year * 5 years = 100 kWh</w:t>
      </w:r>
      <w:r>
        <w:br/>
      </w:r>
      <w:r>
        <w:t xml:space="preserve">Use Phase Emissions = 100 kWh * 0.475 kg CO2e/kWh (Global Grid EF) = 47.5 kg CO2e/unit</w:t>
      </w:r>
    </w:p>
    <w:bookmarkEnd w:id="41"/>
    <w:bookmarkStart w:id="42" w:name="X3bc90abbe2e1645b72b978af62b5f16ed4da77f"/>
    <w:p>
      <w:pPr>
        <w:pStyle w:val="Heading4"/>
      </w:pPr>
      <w:r>
        <w:t xml:space="preserve">Category 12: End-of-Life Treatment of Sold Products (Downstream)</w:t>
      </w:r>
    </w:p>
    <w:p>
      <w:pPr>
        <w:pStyle w:val="FirstParagraph"/>
      </w:pPr>
      <w:r>
        <w:t xml:space="preserve">Emissions and potential removals associated with the disposal, recycling, or recovery of nqxqpyzhjs.</w:t>
      </w:r>
    </w:p>
    <w:p>
      <w:pPr>
        <w:numPr>
          <w:ilvl w:val="0"/>
          <w:numId w:val="1009"/>
        </w:numPr>
        <w:pStyle w:val="Compact"/>
      </w:pPr>
      <w:r>
        <w:rPr>
          <w:bCs/>
          <w:b/>
        </w:rPr>
        <w:t xml:space="preserve">Recyclability Percentage:</w:t>
      </w:r>
      <w:r>
        <w:t xml:space="preserve"> </w:t>
      </w:r>
      <w:r>
        <w:t xml:space="preserve">`eysnylddkv`%.</w:t>
      </w:r>
    </w:p>
    <w:p>
      <w:pPr>
        <w:numPr>
          <w:ilvl w:val="0"/>
          <w:numId w:val="1009"/>
        </w:numPr>
        <w:pStyle w:val="Compact"/>
      </w:pPr>
      <w:r>
        <w:rPr>
          <w:bCs/>
          <w:b/>
        </w:rPr>
        <w:t xml:space="preserve">Circular/Take-back Programs:</w:t>
      </w:r>
      <w:r>
        <w:t xml:space="preserve"> </w:t>
      </w:r>
      <w:r>
        <w:t xml:space="preserve">`lzzxlgsytf`.</w:t>
      </w:r>
    </w:p>
    <w:p>
      <w:pPr>
        <w:pStyle w:val="FirstParagraph"/>
      </w:pPr>
      <w:r>
        <w:rPr>
          <w:iCs/>
          <w:i/>
        </w:rPr>
        <w:t xml:space="preserve">Calculation Methodology:</w:t>
      </w:r>
      <w:r>
        <w:t xml:space="preserve"> </w:t>
      </w:r>
      <w:r>
        <w:t xml:space="preserve">The non-recycled portion contributes emissions (e.g., landfill or incineration), while the recycled portion may provide a credit or avoided emissions (applying the "avoided burden" approach). The presence of `lzzxlgsytf` (Circular/Take-back Programs) indicates a commitment to mitigating EoL impacts, potentially leading to higher recycling rates and more efficient material recovery. The 2026 LSR update would also apply here for any land use related to waste management if applicable.</w:t>
      </w:r>
    </w:p>
    <w:p>
      <w:pPr>
        <w:pStyle w:val="BodyText"/>
      </w:pPr>
      <w:r>
        <w:t xml:space="preserve">Illustrative Calculation Example:</w:t>
      </w:r>
    </w:p>
    <w:p>
      <w:pPr>
        <w:pStyle w:val="BodyText"/>
      </w:pPr>
      <w:r>
        <w:t xml:space="preserve">Assumed Product Weight: 1 kg</w:t>
      </w:r>
      <w:r>
        <w:br/>
      </w:r>
      <w:r>
        <w:t xml:space="preserve">Assumed Recyclability Percentage: 70% (replacing `eysnylddkv`)</w:t>
      </w:r>
      <w:r>
        <w:br/>
      </w:r>
      <w:r>
        <w:t xml:space="preserve">Non-recycled portion: 1 kg * (1 - 0.70) = 0.3 kg</w:t>
      </w:r>
      <w:r>
        <w:br/>
      </w:r>
      <w:r>
        <w:t xml:space="preserve">Recycled portion: 1 kg * 0.70 = 0.7 kg</w:t>
      </w:r>
      <w:r>
        <w:br/>
      </w:r>
      <w:r>
        <w:t xml:space="preserve">Assumed Landfill EF: 1.0 kg CO2e/kg waste</w:t>
      </w:r>
      <w:r>
        <w:br/>
      </w:r>
      <w:r>
        <w:t xml:space="preserve">Assumed Recycling Credit: -0.5 kg CO2e/kg material recycled (avoided virgin material)</w:t>
      </w:r>
      <w:r>
        <w:br/>
      </w:r>
      <w:r>
        <w:t xml:space="preserve">EoL Emissions = (0.3 kg * 1.0 kg CO2e/kg) + (0.7 kg * -0.5 kg CO2e/kg)</w:t>
      </w:r>
      <w:r>
        <w:br/>
      </w:r>
      <w:r>
        <w:t xml:space="preserve">= 0.3 kg CO2e - 0.35 kg CO2e = -0.05 kg CO2e/unit (a net benefit due to recycling)</w:t>
      </w:r>
    </w:p>
    <w:bookmarkEnd w:id="42"/>
    <w:bookmarkEnd w:id="43"/>
    <w:bookmarkStart w:id="44" w:name="land-sector-and-removals-lsr-standard"/>
    <w:p>
      <w:pPr>
        <w:pStyle w:val="Heading3"/>
      </w:pPr>
      <w:r>
        <w:t xml:space="preserve">2026 Land Sector and Removals (LSR) Standard</w:t>
      </w:r>
    </w:p>
    <w:p>
      <w:pPr>
        <w:pStyle w:val="FirstParagraph"/>
      </w:pPr>
      <w:r>
        <w:t xml:space="preserve">The 2026 LSR Standard is applied to account for greenhouse gas (GHG) emissions and removals associated with land use change and bioenergy. This ensures a comprehensive assessment of the biogenic carbon cycle. For nqxqpyzhjs, this would be relevant if raw materials are bio-based, or if any waste management (e.g., composting) or energy production within the value chain involves land-based removals or emissions. Given the product parameters, direct application is limited without further detail on bio-based materials, but the framework is applied for comprehensive reporting. No direct LSR impact is quantitatively shown here without specific bio-based material data.</w:t>
      </w:r>
    </w:p>
    <w:p>
      <w:r>
        <w:pict>
          <v:rect style="width:0;height:1.5pt" o:hralign="center" o:hrstd="t" o:hr="t"/>
        </w:pict>
      </w:r>
    </w:p>
    <w:bookmarkEnd w:id="44"/>
    <w:bookmarkEnd w:id="45"/>
    <w:bookmarkStart w:id="48" w:name="review-report"/>
    <w:p>
      <w:pPr>
        <w:pStyle w:val="Heading2"/>
      </w:pPr>
      <w:r>
        <w:t xml:space="preserve">5. Review &amp; Report</w:t>
      </w:r>
    </w:p>
    <w:p>
      <w:pPr>
        <w:pStyle w:val="FirstParagraph"/>
      </w:pPr>
      <w:r>
        <w:t xml:space="preserve">The calculated Product Carbon Footprint provides a baseline for nqxqpyzhjs. The total PCF is the sum of all relevant Scope 1, 2, and 3 emissions identified across the lifecycle stages. Based on the illustrative examples above:</w:t>
      </w:r>
    </w:p>
    <w:p>
      <w:pPr>
        <w:pStyle w:val="BodyText"/>
      </w:pPr>
      <w:r>
        <w:rPr>
          <w:bCs/>
          <w:b/>
        </w:rPr>
        <w:t xml:space="preserve">Illustrative Total PCF for nqxqpyzhjs:</w:t>
      </w:r>
    </w:p>
    <w:p>
      <w:pPr>
        <w:numPr>
          <w:ilvl w:val="0"/>
          <w:numId w:val="1010"/>
        </w:numPr>
        <w:pStyle w:val="Compact"/>
      </w:pPr>
      <w:r>
        <w:t xml:space="preserve">Scope 1: (Minor, not quantitatively assessed with placeholders)</w:t>
      </w:r>
    </w:p>
    <w:p>
      <w:pPr>
        <w:numPr>
          <w:ilvl w:val="0"/>
          <w:numId w:val="1010"/>
        </w:numPr>
        <w:pStyle w:val="Compact"/>
      </w:pPr>
      <w:r>
        <w:t xml:space="preserve">Scope 2 (Production Energy): 7.2 kg CO2e/unit</w:t>
      </w:r>
    </w:p>
    <w:p>
      <w:pPr>
        <w:numPr>
          <w:ilvl w:val="0"/>
          <w:numId w:val="1010"/>
        </w:numPr>
        <w:pStyle w:val="Compact"/>
      </w:pPr>
      <w:r>
        <w:t xml:space="preserve">Scope 3 (Materials): 2.128 kg CO2e/unit</w:t>
      </w:r>
    </w:p>
    <w:p>
      <w:pPr>
        <w:numPr>
          <w:ilvl w:val="0"/>
          <w:numId w:val="1010"/>
        </w:numPr>
        <w:pStyle w:val="Compact"/>
      </w:pPr>
      <w:r>
        <w:t xml:space="preserve">Scope 3 (Outbound Transport): 7.545 kg CO2e/unit</w:t>
      </w:r>
    </w:p>
    <w:p>
      <w:pPr>
        <w:numPr>
          <w:ilvl w:val="0"/>
          <w:numId w:val="1010"/>
        </w:numPr>
        <w:pStyle w:val="Compact"/>
      </w:pPr>
      <w:r>
        <w:t xml:space="preserve">Scope 3 (Use Phase): 47.5 kg CO2e/unit</w:t>
      </w:r>
    </w:p>
    <w:p>
      <w:pPr>
        <w:numPr>
          <w:ilvl w:val="0"/>
          <w:numId w:val="1010"/>
        </w:numPr>
        <w:pStyle w:val="Compact"/>
      </w:pPr>
      <w:r>
        <w:t xml:space="preserve">Scope 3 (End-of-Life): -0.05 kg CO2e/unit</w:t>
      </w:r>
    </w:p>
    <w:p>
      <w:pPr>
        <w:pStyle w:val="FirstParagraph"/>
      </w:pPr>
      <w:r>
        <w:rPr>
          <w:bCs/>
          <w:b/>
        </w:rPr>
        <w:t xml:space="preserve">Total Illustrative PCF: ~64.323 kg CO2e/unit</w:t>
      </w:r>
    </w:p>
    <w:bookmarkStart w:id="46" w:name="hotspots-and-reliability"/>
    <w:p>
      <w:pPr>
        <w:pStyle w:val="Heading3"/>
      </w:pPr>
      <w:r>
        <w:t xml:space="preserve">Hotspots and Reliability</w:t>
      </w:r>
    </w:p>
    <w:p>
      <w:pPr>
        <w:pStyle w:val="FirstParagraph"/>
      </w:pPr>
      <w:r>
        <w:t xml:space="preserve">Based on the illustrative calculations, the most significant emission hotspot for nqxqpyzhjs appears to be the **Use Phase** due to energy consumption over its lifespan. Material acquisition and outbound logistics also contribute substantially. Production energy (Scope 2) is a smaller but still relevant contributor.</w:t>
      </w:r>
    </w:p>
    <w:p>
      <w:pPr>
        <w:pStyle w:val="BodyText"/>
      </w:pPr>
      <w:r>
        <w:t xml:space="preserve">The reliability of this analysis is directly dependent on the accuracy and completeness of the primary data provided by kryjdpefgw. The use of specific BOM data (`jjnvgneu`) enhances the accuracy of material impact calculations significantly. Assumptions regarding generic emission factors for transport and grid electricity mixes, made necessary due to placeholder input values, introduce a level of uncertainty. Further refinement would require more precise primary data for each specific activity and geographic location within the value chain.</w:t>
      </w:r>
    </w:p>
    <w:bookmarkEnd w:id="46"/>
    <w:bookmarkStart w:id="47" w:name="recommendations-for-emission-reduction"/>
    <w:p>
      <w:pPr>
        <w:pStyle w:val="Heading3"/>
      </w:pPr>
      <w:r>
        <w:t xml:space="preserve">Recommendations for Emission Reduction</w:t>
      </w:r>
    </w:p>
    <w:p>
      <w:pPr>
        <w:pStyle w:val="FirstParagraph"/>
      </w:pPr>
      <w:r>
        <w:t xml:space="preserve">To reduce the PCF of nqxqpyzhjs, kryjdpefgw should focus on:</w:t>
      </w:r>
    </w:p>
    <w:p>
      <w:pPr>
        <w:numPr>
          <w:ilvl w:val="0"/>
          <w:numId w:val="1011"/>
        </w:numPr>
        <w:pStyle w:val="Compact"/>
      </w:pPr>
      <w:r>
        <w:rPr>
          <w:bCs/>
          <w:b/>
        </w:rPr>
        <w:t xml:space="preserve">Use Phase Optimization:</w:t>
      </w:r>
      <w:r>
        <w:t xml:space="preserve"> </w:t>
      </w:r>
      <w:r>
        <w:t xml:space="preserve">Investigate opportunities for energy efficiency improvements in the product\'s design (e.g., lower power consumption components) or encourage the use of renewable energy by end-users.</w:t>
      </w:r>
    </w:p>
    <w:p>
      <w:pPr>
        <w:numPr>
          <w:ilvl w:val="0"/>
          <w:numId w:val="1011"/>
        </w:numPr>
        <w:pStyle w:val="Compact"/>
      </w:pPr>
      <w:r>
        <w:rPr>
          <w:bCs/>
          <w:b/>
        </w:rPr>
        <w:t xml:space="preserve">Supply Chain Decarbonization:</w:t>
      </w:r>
      <w:r>
        <w:t xml:space="preserve"> </w:t>
      </w:r>
      <w:r>
        <w:t xml:space="preserve">Work with suppliers to reduce the embodied carbon of materials, particularly for high-impact components, and explore options for lower-emission transport modes.</w:t>
      </w:r>
    </w:p>
    <w:p>
      <w:pPr>
        <w:numPr>
          <w:ilvl w:val="0"/>
          <w:numId w:val="1011"/>
        </w:numPr>
        <w:pStyle w:val="Compact"/>
      </w:pPr>
      <w:r>
        <w:rPr>
          <w:bCs/>
          <w:b/>
        </w:rPr>
        <w:t xml:space="preserve">Circular Economy Initiatives:</w:t>
      </w:r>
      <w:r>
        <w:t xml:space="preserve"> </w:t>
      </w:r>
      <w:r>
        <w:t xml:space="preserve">Expand and promote `lzzxlgsytf` (Circular/Take-back Programs) to maximize the `eysnylddkv` (Recyclability Percentage), generating greater end-of-life benefits.</w:t>
      </w:r>
    </w:p>
    <w:p>
      <w:pPr>
        <w:numPr>
          <w:ilvl w:val="0"/>
          <w:numId w:val="1011"/>
        </w:numPr>
        <w:pStyle w:val="Compact"/>
      </w:pPr>
      <w:r>
        <w:rPr>
          <w:bCs/>
          <w:b/>
        </w:rPr>
        <w:t xml:space="preserve">Renewable Energy Integration:</w:t>
      </w:r>
      <w:r>
        <w:t xml:space="preserve"> </w:t>
      </w:r>
      <w:r>
        <w:t xml:space="preserve">Continue to increase the `pdixyesify` (Renewable Energy Usage) at production facilities to further reduce Scope 2 emissions.</w:t>
      </w:r>
    </w:p>
    <w:p>
      <w:pPr>
        <w:pStyle w:val="FirstParagraph"/>
      </w:pPr>
      <w:r>
        <w:t xml:space="preserve">This report serves as a robust framework for understanding the environmental impact of nqxqpyzhjs and guiding strategic sustainability efforts for kryjdpefgw.</w:t>
      </w:r>
    </w:p>
    <w:p>
      <w:pPr>
        <w:pStyle w:val="BodyText"/>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nqxqpyzhjs</dc:title>
  <dc:creator/>
  <dc:description>Detailed Product Carbon Footprint (PCF) analysis for nqxqpyzhjs, conducted by nmgshifvsj of kryjdpefgw, adhering to GHG Protocol standards and the 2026 LSR Update.</dc:description>
  <dc:language>en</dc:language>
  <cp:keywords/>
  <dcterms:created xsi:type="dcterms:W3CDTF">2026-07-14T23:44:33Z</dcterms:created>
  <dcterms:modified xsi:type="dcterms:W3CDTF">2026-07-14T23:44:33Z</dcterms:modified>
</cp:coreProperties>
</file>

<file path=docProps/custom.xml><?xml version="1.0" encoding="utf-8"?>
<Properties xmlns="http://schemas.openxmlformats.org/officeDocument/2006/custom-properties" xmlns:vt="http://schemas.openxmlformats.org/officeDocument/2006/docPropsVTypes"/>
</file>