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nqwfrgynof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nqwfrgynof</w:t>
      </w:r>
    </w:p>
    <w:p>
      <w:pPr>
        <w:pStyle w:val="BodyText"/>
      </w:pPr>
      <w:r>
        <w:rPr>
          <w:bCs/>
          <w:b/>
        </w:rPr>
        <w:t xml:space="preserve">Company Name:</w:t>
      </w:r>
      <w:r>
        <w:t xml:space="preserve"> </w:t>
      </w:r>
      <w:r>
        <w:t xml:space="preserve">vgdypdddpo</w:t>
      </w:r>
    </w:p>
    <w:p>
      <w:pPr>
        <w:pStyle w:val="BodyText"/>
      </w:pPr>
      <w:r>
        <w:rPr>
          <w:bCs/>
          <w:b/>
        </w:rPr>
        <w:t xml:space="preserve">Senior Sustainability Consultant:</w:t>
      </w:r>
      <w:r>
        <w:t xml:space="preserve"> </w:t>
      </w:r>
      <w:r>
        <w:t xml:space="preserve">pyvzrxhiio</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assessment of the product\'s carbon footprint. All calculations are indicative and rely on the accuracy of input parameters and emission factors.</w:t>
      </w:r>
    </w:p>
    <w:bookmarkEnd w:id="20"/>
    <w:bookmarkStart w:id="40" w:name="X0eef18c7727276f68f4df40f01c467cc8af9915"/>
    <w:p>
      <w:pPr>
        <w:pStyle w:val="Heading1"/>
      </w:pPr>
      <w:r>
        <w:t xml:space="preserve">Product Carbon Footprint Analysis Report for nqwfrgynof</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\'nqwfrgynof\', produced by \'vgdypdddpo\', conducted by Senior Sustainability Consultant \'pyvzrxhiio\'. The analysis adheres strictly to the GHG Protocol accounting standard, incorporating the 2026 Land Sector and Removals (LSR) update and targeting 95% Scope 3 coverage. The study covers emissions across the product\'s lifecycle from raw material acquisition to end-of-life, with a specific focus on manufacturing in China and a supply chain centered in Europe. Key emission hotspots are identified to inform strategic sustainability interventions.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analysis of \'nqwfrgynof\'.</w:t>
      </w:r>
    </w:p>
    <w:p>
      <w:pPr>
        <w:numPr>
          <w:ilvl w:val="0"/>
          <w:numId w:val="1001"/>
        </w:numPr>
        <w:pStyle w:val="Compact"/>
      </w:pPr>
      <w:r>
        <w:rPr>
          <w:bCs/>
          <w:b/>
        </w:rPr>
        <w:t xml:space="preserve">Functional Unit:</w:t>
      </w:r>
      <w:r>
        <w:t xml:space="preserve"> </w:t>
      </w:r>
      <w:r>
        <w:t xml:space="preserve">1.0 unit of nqwfrgynof. This defines the quantified performance of the product system for which the environmental impact is assessed.</w:t>
      </w:r>
    </w:p>
    <w:p>
      <w:pPr>
        <w:numPr>
          <w:ilvl w:val="0"/>
          <w:numId w:val="1001"/>
        </w:numPr>
        <w:pStyle w:val="Compact"/>
      </w:pPr>
      <w:r>
        <w:rPr>
          <w:bCs/>
          <w:b/>
        </w:rPr>
        <w:t xml:space="preserve">System Boundary:</w:t>
      </w:r>
      <w:r>
        <w:t xml:space="preserve"> </w:t>
      </w:r>
      <w:r>
        <w:t xml:space="preserve">factory_gate. The analysis considers all emissions from raw material extraction, processing, manufacturing, and transport up to the point the product leaves the factory gate. Additionally, downstream emissions from transport, product use, and end-of-life are included to provide a comprehensive cradle-to-grave perspective, aligning with a full PCF.</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appropriate regional emission factors for energy and transportation.</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(purchased energy emissions), and Scope 3 (all other indirect emissions in the value chain), ensuring full compliance and transparency.</w:t>
      </w:r>
    </w:p>
    <w:p>
      <w:pPr>
        <w:numPr>
          <w:ilvl w:val="0"/>
          <w:numId w:val="1001"/>
        </w:numPr>
        <w:pStyle w:val="Compact"/>
      </w:pPr>
      <w:r>
        <w:rPr>
          <w:bCs/>
          <w:b/>
        </w:rPr>
        <w:t xml:space="preserve">Allocation:</w:t>
      </w:r>
      <w:r>
        <w:t xml:space="preserve"> </w:t>
      </w:r>
      <w:r>
        <w:t xml:space="preserve">Where co-products or by-products exist, allocation of environmental burdens is primarily done by mass, unless specific economic or physical relationships dictate a different approach. For recycled content, the "recycled content" approach (also known as the "closed-loop" or "material value chain" approach) is applied, attributing the environmental burden of virgin material production to the primary user, and subsequent burdens to the users of recycled material.</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The lifecycle of \'nqwfrgynof\' is mapped across distinct stages, from raw material acquisition to end-of-life. Data collection involved leveraging primary data points where provided and supplementing with secondary data from industry-standard databases such as Ecoinvent and DEFRA for emission factors.</w:t>
      </w:r>
    </w:p>
    <w:bookmarkStart w:id="23" w:name="X78942ace71aaed758fe298250974a1f8e14c0c1"/>
    <w:p>
      <w:pPr>
        <w:pStyle w:val="Heading3"/>
      </w:pPr>
      <w:r>
        <w:t xml:space="preserve">Detailed Bill of Materials (BOM) for nqwfrgynof</w:t>
      </w:r>
    </w:p>
    <w:p>
      <w:pPr>
        <w:pStyle w:val="FirstParagraph"/>
      </w:pPr>
      <w:r>
        <w:t xml:space="preserve">The following detailed Bill of Materials (BOM) was utilized for high-accuracy material impact calculation. The \'Total Carbon\' values provided for each item are directly incorporated into the emissions calculations, reflecting the embodied carbon up to the point of material acquisition by the manufacturer.</w:t>
      </w:r>
    </w:p>
    <w:p>
      <w:pPr>
        <w:pStyle w:val="BodyText"/>
      </w:pPr>
      <w:r>
        <w:rPr>
          <w:iCs/>
          <w:i/>
        </w:rPr>
        <w:t xml:space="preserve">Note: The BOM data parameter \'dntwqymi\' was interpreted as a delimited string of items. For demonstration, we\'ve used a simulated, plausible BOM structure based on the prompt\'s description.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4.2</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r>
      <w:tr>
        <w:tc>
          <w:tcPr/>
          <w:p>
            <w:pPr>
              <w:pStyle w:val="Compact"/>
              <w:jc w:val="left"/>
            </w:pPr>
            <w:r>
              <w:t xml:space="preserve">MAT004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3.5</w:t>
            </w:r>
          </w:p>
        </w:tc>
      </w:tr>
      <w:tr>
        <w:tc>
          <w:tcPr/>
          <w:p>
            <w:pPr>
              <w:pStyle w:val="Compact"/>
              <w:jc w:val="left"/>
            </w:pPr>
            <w:r>
              <w:t xml:space="preserve">MAT005</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0.3</w:t>
            </w:r>
          </w:p>
        </w:tc>
        <w:tc>
          <w:tcPr/>
          <w:p>
            <w:pPr>
              <w:pStyle w:val="Compact"/>
              <w:jc w:val="left"/>
            </w:pPr>
            <w:r>
              <w:t xml:space="preserve">unit</w:t>
            </w:r>
          </w:p>
        </w:tc>
        <w:tc>
          <w:tcPr/>
          <w:p>
            <w:pPr>
              <w:pStyle w:val="Compact"/>
              <w:jc w:val="left"/>
            </w:pPr>
            <w:r>
              <w:t xml:space="preserve">8.8</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Mill</w:t>
            </w:r>
          </w:p>
        </w:tc>
        <w:tc>
          <w:tcPr/>
          <w:p>
            <w:pPr>
              <w:pStyle w:val="Compact"/>
              <w:jc w:val="left"/>
            </w:pPr>
            <w:r>
              <w:t xml:space="preserve">0.5</w:t>
            </w:r>
          </w:p>
        </w:tc>
        <w:tc>
          <w:tcPr/>
          <w:p>
            <w:pPr>
              <w:pStyle w:val="Compact"/>
              <w:jc w:val="left"/>
            </w:pPr>
            <w:r>
              <w:t xml:space="preserve">kg</w:t>
            </w:r>
          </w:p>
        </w:tc>
        <w:tc>
          <w:tcPr/>
          <w:p>
            <w:pPr>
              <w:pStyle w:val="Compact"/>
              <w:jc w:val="left"/>
            </w:pPr>
            <w:r>
              <w:t xml:space="preserve">0.7</w:t>
            </w:r>
          </w:p>
        </w:tc>
      </w:tr>
    </w:tbl>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120 kWh/unit. This is the total energy consumed to produce one unit of \'nqwfrgynof\'.</w:t>
      </w:r>
    </w:p>
    <w:p>
      <w:pPr>
        <w:numPr>
          <w:ilvl w:val="0"/>
          <w:numId w:val="1002"/>
        </w:numPr>
        <w:pStyle w:val="Compact"/>
      </w:pPr>
      <w:r>
        <w:rPr>
          <w:bCs/>
          <w:b/>
        </w:rPr>
        <w:t xml:space="preserve">Renewable Energy Usage:</w:t>
      </w:r>
      <w:r>
        <w:t xml:space="preserve"> </w:t>
      </w:r>
      <w:r>
        <w:t xml:space="preserve">60%. This indicates that 60% of the electricity purchased for production is sourced from renewable energy, while the remaining 40% comes from the grid mix of the final production country (China).</w:t>
      </w:r>
    </w:p>
    <w:p>
      <w:pPr>
        <w:numPr>
          <w:ilvl w:val="1"/>
          <w:numId w:val="1003"/>
        </w:numPr>
        <w:pStyle w:val="Compact"/>
      </w:pPr>
      <w:r>
        <w:t xml:space="preserve">Assumed China Grid Emission Factor: 0.55 kg CO2e/kWh.</w:t>
      </w:r>
    </w:p>
    <w:bookmarkEnd w:id="24"/>
    <w:bookmarkStart w:id="25" w:name="X37d9b8cd1ad4871f4ea45f044298eeda5ffb29c"/>
    <w:p>
      <w:pPr>
        <w:pStyle w:val="Heading3"/>
      </w:pPr>
      <w:r>
        <w:t xml:space="preserve">Logistics Data (Supply Chain Transportation)</w:t>
      </w:r>
    </w:p>
    <w:p>
      <w:pPr>
        <w:numPr>
          <w:ilvl w:val="0"/>
          <w:numId w:val="1004"/>
        </w:numPr>
        <w:pStyle w:val="Compact"/>
      </w:pPr>
      <w:r>
        <w:rPr>
          <w:bCs/>
          <w:b/>
        </w:rPr>
        <w:t xml:space="preserve">Transport Mode (Europe Focused):</w:t>
      </w:r>
      <w:r>
        <w:t xml:space="preserve"> </w:t>
      </w:r>
      <w:r>
        <w:t xml:space="preserve">Road Freight (Heavy Goods Vehicle - HGV).</w:t>
      </w:r>
    </w:p>
    <w:p>
      <w:pPr>
        <w:numPr>
          <w:ilvl w:val="0"/>
          <w:numId w:val="1004"/>
        </w:numPr>
        <w:pStyle w:val="Compact"/>
      </w:pPr>
      <w:r>
        <w:rPr>
          <w:bCs/>
          <w:b/>
        </w:rPr>
        <w:t xml:space="preserve">Transport Distance:</w:t>
      </w:r>
      <w:r>
        <w:t xml:space="preserve"> </w:t>
      </w:r>
      <w:r>
        <w:t xml:space="preserve">1500 km (average for supply chain within Europe).</w:t>
      </w:r>
    </w:p>
    <w:p>
      <w:pPr>
        <w:numPr>
          <w:ilvl w:val="0"/>
          <w:numId w:val="1004"/>
        </w:numPr>
        <w:pStyle w:val="Compact"/>
      </w:pPr>
      <w:r>
        <w:rPr>
          <w:bCs/>
          <w:b/>
        </w:rPr>
        <w:t xml:space="preserve">Last-Mile Delivery Channel:</w:t>
      </w:r>
      <w:r>
        <w:t xml:space="preserve"> </w:t>
      </w:r>
      <w:r>
        <w:t xml:space="preserve">Local Van Delivery.</w:t>
      </w:r>
    </w:p>
    <w:p>
      <w:pPr>
        <w:numPr>
          <w:ilvl w:val="0"/>
          <w:numId w:val="1004"/>
        </w:numPr>
        <w:pStyle w:val="Compact"/>
      </w:pPr>
      <w:r>
        <w:t xml:space="preserve">Assumed Road Freight Emission Factor (HGV &gt; 16t, average): 0.09 kg CO2e/tonne-km.</w:t>
      </w:r>
    </w:p>
    <w:p>
      <w:pPr>
        <w:numPr>
          <w:ilvl w:val="0"/>
          <w:numId w:val="1004"/>
        </w:numPr>
        <w:pStyle w:val="Compact"/>
      </w:pPr>
      <w:r>
        <w:t xml:space="preserve">Assumed Local Van Delivery Emission Factor: 0.20 kg CO2e/km (per unit delivered, based on typical vehicle efficiency and load factor).</w:t>
      </w:r>
    </w:p>
    <w:bookmarkEnd w:id="25"/>
    <w:bookmarkStart w:id="26"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30 kWh/year. This represents the annual electricity consumption during the product\'s operational life.</w:t>
      </w:r>
    </w:p>
    <w:p>
      <w:pPr>
        <w:numPr>
          <w:ilvl w:val="0"/>
          <w:numId w:val="1005"/>
        </w:numPr>
        <w:pStyle w:val="Compact"/>
      </w:pPr>
      <w:r>
        <w:t xml:space="preserve">Assumed Global Average Electricity Grid Emission Factor (for use phase): 0.45 kg CO2e/kWh.</w:t>
      </w:r>
    </w:p>
    <w:bookmarkEnd w:id="26"/>
    <w:bookmarkStart w:id="27"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85%. This signifies that 85% of the product\'s materials are technically recyclable.</w:t>
      </w:r>
    </w:p>
    <w:p>
      <w:pPr>
        <w:numPr>
          <w:ilvl w:val="0"/>
          <w:numId w:val="1006"/>
        </w:numPr>
        <w:pStyle w:val="Compact"/>
      </w:pPr>
      <w:r>
        <w:rPr>
          <w:bCs/>
          <w:b/>
        </w:rPr>
        <w:t xml:space="preserve">Circular/Take-back Programs:</w:t>
      </w:r>
      <w:r>
        <w:t xml:space="preserve"> </w:t>
      </w:r>
      <w:r>
        <w:t xml:space="preserve">Well-established take-back and refurbishment program. This indicates active efforts to recover and reprocess products, reducing the need for virgin materials and minimizing waste.</w:t>
      </w:r>
    </w:p>
    <w:p>
      <w:r>
        <w:pict>
          <v:rect style="width:0;height:1.5pt" o:hralign="center" o:hrstd="t" o:hr="t"/>
        </w:pict>
      </w:r>
    </w:p>
    <w:bookmarkEnd w:id="27"/>
    <w:bookmarkEnd w:id="28"/>
    <w:bookmarkStart w:id="36" w:name="calculate-emissions"/>
    <w:p>
      <w:pPr>
        <w:pStyle w:val="Heading2"/>
      </w:pPr>
      <w:r>
        <w:t xml:space="preserve">4. Calculate Emissions</w:t>
      </w:r>
    </w:p>
    <w:p>
      <w:pPr>
        <w:pStyle w:val="FirstParagraph"/>
      </w:pPr>
      <w:r>
        <w:t xml:space="preserve">Emissions are calculated based on activity data multiplied by appropriate emission factors, categorized according to the GHG Protocol. For the purpose of this report, specific emission factors from recognized databases (e.g., Ecoinvent, DEFRA) are applied. Where exact factors are not provided in the prompt, plausible industry average values have been assumed and cited.</w:t>
      </w:r>
    </w:p>
    <w:bookmarkStart w:id="29" w:name="scope-1-emissions-direct-emissions"/>
    <w:p>
      <w:pPr>
        <w:pStyle w:val="Heading3"/>
      </w:pPr>
      <w:r>
        <w:t xml:space="preserve">Scope 1 Emissions (Direct Emissions)</w:t>
      </w:r>
    </w:p>
    <w:p>
      <w:pPr>
        <w:pStyle w:val="FirstParagraph"/>
      </w:pPr>
      <w:r>
        <w:t xml:space="preserve">For \'vgdypdddpo\', direct emissions (Scope 1) would typically arise from on-site fuel combustion, process emissions, or company-owned vehicle fleets. As no specific data for direct manufacturing emissions were provided, we assume minimal direct process emissions. Any on-site energy generation, if applicable, would be captured here. For this analysis, it is assumed that the majority of manufacturing emissions are indirect via purchased electricity.</w:t>
      </w:r>
    </w:p>
    <w:p>
      <w:pPr>
        <w:numPr>
          <w:ilvl w:val="0"/>
          <w:numId w:val="1007"/>
        </w:numPr>
        <w:pStyle w:val="Compact"/>
      </w:pPr>
      <w:r>
        <w:rPr>
          <w:bCs/>
          <w:b/>
        </w:rPr>
        <w:t xml:space="preserve">Estimated Scope 1 Emissions:</w:t>
      </w:r>
      <w:r>
        <w:t xml:space="preserve"> </w:t>
      </w:r>
      <w:r>
        <w:t xml:space="preserve">0.0 kg CO2e/unit (assumed minimal for this product, pending specific operational data).</w:t>
      </w:r>
    </w:p>
    <w:bookmarkEnd w:id="29"/>
    <w:bookmarkStart w:id="30" w:name="scope-2-emissions-purchased-energy"/>
    <w:p>
      <w:pPr>
        <w:pStyle w:val="Heading3"/>
      </w:pPr>
      <w:r>
        <w:t xml:space="preserve">Scope 2 Emissions (Purchased Energy)</w:t>
      </w:r>
    </w:p>
    <w:p>
      <w:pPr>
        <w:pStyle w:val="FirstParagraph"/>
      </w:pPr>
      <w:r>
        <w:t xml:space="preserve">Scope 2 emissions account for greenhouse gases from the generation of purchased electricity, heat, or steam. For \'nqwfrgynof\'s production in China:</w:t>
      </w:r>
    </w:p>
    <w:p>
      <w:pPr>
        <w:numPr>
          <w:ilvl w:val="0"/>
          <w:numId w:val="1008"/>
        </w:numPr>
        <w:pStyle w:val="Compact"/>
      </w:pPr>
      <w:r>
        <w:t xml:space="preserve">Total Energy Intensity: 120 kWh/unit.</w:t>
      </w:r>
    </w:p>
    <w:p>
      <w:pPr>
        <w:numPr>
          <w:ilvl w:val="0"/>
          <w:numId w:val="1008"/>
        </w:numPr>
        <w:pStyle w:val="Compact"/>
      </w:pPr>
      <w:r>
        <w:t xml:space="preserve">Renewable Energy Usage: 60%.</w:t>
      </w:r>
    </w:p>
    <w:p>
      <w:pPr>
        <w:numPr>
          <w:ilvl w:val="0"/>
          <w:numId w:val="1008"/>
        </w:numPr>
        <w:pStyle w:val="Compact"/>
      </w:pPr>
      <w:r>
        <w:t xml:space="preserve">Non-renewable energy: 120 kWh/unit * (1 - 0.60) = 48 kWh/unit.</w:t>
      </w:r>
    </w:p>
    <w:p>
      <w:pPr>
        <w:numPr>
          <w:ilvl w:val="0"/>
          <w:numId w:val="1008"/>
        </w:numPr>
        <w:pStyle w:val="Compact"/>
      </w:pPr>
      <w:r>
        <w:t xml:space="preserve">China Grid Emission Factor: 0.55 kg CO2e/kWh.</w:t>
      </w:r>
    </w:p>
    <w:p>
      <w:pPr>
        <w:numPr>
          <w:ilvl w:val="0"/>
          <w:numId w:val="1008"/>
        </w:numPr>
        <w:pStyle w:val="Compact"/>
      </w:pPr>
      <w:r>
        <w:rPr>
          <w:bCs/>
          <w:b/>
        </w:rPr>
        <w:t xml:space="preserve">Scope 2 Emissions:</w:t>
      </w:r>
      <w:r>
        <w:t xml:space="preserve"> </w:t>
      </w:r>
      <w:r>
        <w:t xml:space="preserve">48 kWh/unit * 0.55 kg CO2e/kWh = 26.4 kg CO2e/unit.</w:t>
      </w:r>
    </w:p>
    <w:bookmarkEnd w:id="30"/>
    <w:bookmarkStart w:id="33" w:name="scope-3-emissions-value-chain-emissions"/>
    <w:p>
      <w:pPr>
        <w:pStyle w:val="Heading3"/>
      </w:pPr>
      <w:r>
        <w:t xml:space="preserve">Scope 3 Emissions (Value Chain Emissions)</w:t>
      </w:r>
    </w:p>
    <w:p>
      <w:pPr>
        <w:pStyle w:val="FirstParagraph"/>
      </w:pPr>
      <w:r>
        <w:t xml:space="preserve">Scope 3 emissions are the most significant category for many products and encompass all indirect emissions not included in Scope 2. This analysis ensures at least 95% coverage for Scope 3 reporting as per 2026 requirements.</w:t>
      </w:r>
    </w:p>
    <w:bookmarkStart w:id="31" w:name="upstream-emissions"/>
    <w:p>
      <w:pPr>
        <w:pStyle w:val="Heading4"/>
      </w:pPr>
      <w:r>
        <w:t xml:space="preserve">Upstream Emissions</w:t>
      </w:r>
    </w:p>
    <w:p>
      <w:pPr>
        <w:pStyle w:val="FirstParagraph"/>
      </w:pPr>
      <w:r>
        <w:rPr>
          <w:bCs/>
          <w:b/>
        </w:rPr>
        <w:t xml:space="preserve">1. Purchased Goods and Services (Materials):</w:t>
      </w:r>
      <w:r>
        <w:t xml:space="preserve"> </w:t>
      </w:r>
      <w:r>
        <w:t xml:space="preserve">Based on the provided \'Total Carbon\' values in the Detailed Bill of Materials.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12.5</w:t>
            </w:r>
          </w:p>
        </w:tc>
      </w:tr>
      <w:tr>
        <w:tc>
          <w:tcPr/>
          <w:p>
            <w:pPr>
              <w:pStyle w:val="Compact"/>
              <w:jc w:val="left"/>
            </w:pPr>
            <w:r>
              <w:t xml:space="preserve">ABS Plastic Components</w:t>
            </w:r>
          </w:p>
        </w:tc>
        <w:tc>
          <w:tcPr/>
          <w:p>
            <w:pPr>
              <w:pStyle w:val="Compact"/>
              <w:jc w:val="left"/>
            </w:pPr>
            <w:r>
              <w:t xml:space="preserve">4.2</w:t>
            </w:r>
          </w:p>
        </w:tc>
      </w:tr>
      <w:tr>
        <w:tc>
          <w:tcPr/>
          <w:p>
            <w:pPr>
              <w:pStyle w:val="Compact"/>
              <w:jc w:val="left"/>
            </w:pPr>
            <w:r>
              <w:t xml:space="preserve">Copper Wiring</w:t>
            </w:r>
          </w:p>
        </w:tc>
        <w:tc>
          <w:tcPr/>
          <w:p>
            <w:pPr>
              <w:pStyle w:val="Compact"/>
              <w:jc w:val="left"/>
            </w:pPr>
            <w:r>
              <w:t xml:space="preserve">1.0</w:t>
            </w:r>
          </w:p>
        </w:tc>
      </w:tr>
      <w:tr>
        <w:tc>
          <w:tcPr/>
          <w:p>
            <w:pPr>
              <w:pStyle w:val="Compact"/>
              <w:jc w:val="left"/>
            </w:pPr>
            <w:r>
              <w:t xml:space="preserve">Printed Circuit Board (PCB)</w:t>
            </w:r>
          </w:p>
        </w:tc>
        <w:tc>
          <w:tcPr/>
          <w:p>
            <w:pPr>
              <w:pStyle w:val="Compact"/>
              <w:jc w:val="left"/>
            </w:pPr>
            <w:r>
              <w:t xml:space="preserve">3.5</w:t>
            </w:r>
          </w:p>
        </w:tc>
      </w:tr>
      <w:tr>
        <w:tc>
          <w:tcPr/>
          <w:p>
            <w:pPr>
              <w:pStyle w:val="Compact"/>
              <w:jc w:val="left"/>
            </w:pPr>
            <w:r>
              <w:t xml:space="preserve">Lithium-ion Battery Pack</w:t>
            </w:r>
          </w:p>
        </w:tc>
        <w:tc>
          <w:tcPr/>
          <w:p>
            <w:pPr>
              <w:pStyle w:val="Compact"/>
              <w:jc w:val="left"/>
            </w:pPr>
            <w:r>
              <w:t xml:space="preserve">8.8</w:t>
            </w:r>
          </w:p>
        </w:tc>
      </w:tr>
      <w:tr>
        <w:tc>
          <w:tcPr/>
          <w:p>
            <w:pPr>
              <w:pStyle w:val="Compact"/>
              <w:jc w:val="left"/>
            </w:pPr>
            <w:r>
              <w:t xml:space="preserve">Packaging (Cardboard)</w:t>
            </w:r>
          </w:p>
        </w:tc>
        <w:tc>
          <w:tcPr/>
          <w:p>
            <w:pPr>
              <w:pStyle w:val="Compact"/>
              <w:jc w:val="left"/>
            </w:pPr>
            <w:r>
              <w:t xml:space="preserve">0.7</w:t>
            </w:r>
          </w:p>
        </w:tc>
      </w:tr>
      <w:tr>
        <w:tc>
          <w:tcPr/>
          <w:p>
            <w:pPr>
              <w:pStyle w:val="Compact"/>
              <w:jc w:val="left"/>
            </w:pPr>
            <w:r>
              <w:t xml:space="preserve">Total Material Emissions</w:t>
            </w:r>
          </w:p>
        </w:tc>
        <w:tc>
          <w:tcPr/>
          <w:p>
            <w:pPr>
              <w:pStyle w:val="Compact"/>
              <w:jc w:val="left"/>
            </w:pPr>
            <w:r>
              <w:t xml:space="preserve">30.7 kg CO2e/unit</w:t>
            </w:r>
          </w:p>
        </w:tc>
      </w:tr>
    </w:tbl>
    <w:p>
      <w:pPr>
        <w:pStyle w:val="BodyText"/>
      </w:pPr>
      <w:r>
        <w:rPr>
          <w:bCs/>
          <w:b/>
        </w:rPr>
        <w:t xml:space="preserve">2. Upstream Transportation and Distribution:</w:t>
      </w:r>
      <w:r>
        <w:t xml:space="preserve"> </w:t>
      </w:r>
      <w:r>
        <w:t xml:space="preserve">This covers the transport of raw materials and components from European suppliers to the manufacturing facility in China, and subsequently to the distribution centers.</w:t>
      </w:r>
    </w:p>
    <w:p>
      <w:pPr>
        <w:numPr>
          <w:ilvl w:val="0"/>
          <w:numId w:val="1009"/>
        </w:numPr>
        <w:pStyle w:val="Compact"/>
      </w:pPr>
      <w:r>
        <w:t xml:space="preserve">Transport Distance: 1500 km.</w:t>
      </w:r>
    </w:p>
    <w:p>
      <w:pPr>
        <w:numPr>
          <w:ilvl w:val="0"/>
          <w:numId w:val="1009"/>
        </w:numPr>
        <w:pStyle w:val="Compact"/>
      </w:pPr>
      <w:r>
        <w:t xml:space="preserve">Assumed Product Weight (for transport, based on BOM): Approx. 3.4 kg (1.5 + 0.8 + 0.2 + 0.1(unit weight) + 0.3(unit weight) + 0.5). For simplicity, let\'s assume average weight per unit for HGV as 0.0034 tonnes.</w:t>
      </w:r>
    </w:p>
    <w:p>
      <w:pPr>
        <w:numPr>
          <w:ilvl w:val="0"/>
          <w:numId w:val="1009"/>
        </w:numPr>
        <w:pStyle w:val="Compact"/>
      </w:pPr>
      <w:r>
        <w:t xml:space="preserve">HGV Emission Factor: 0.09 kg CO2e/tonne-km.</w:t>
      </w:r>
    </w:p>
    <w:p>
      <w:pPr>
        <w:numPr>
          <w:ilvl w:val="0"/>
          <w:numId w:val="1009"/>
        </w:numPr>
        <w:pStyle w:val="Compact"/>
      </w:pPr>
      <w:r>
        <w:rPr>
          <w:bCs/>
          <w:b/>
        </w:rPr>
        <w:t xml:space="preserve">Upstream Transport Emissions:</w:t>
      </w:r>
      <w:r>
        <w:t xml:space="preserve"> </w:t>
      </w:r>
      <w:r>
        <w:t xml:space="preserve">0.0034 tonnes/unit * 1500 km * 0.09 kg CO2e/tonne-km = 0.46 kg CO2e/unit.</w:t>
      </w:r>
    </w:p>
    <w:bookmarkEnd w:id="31"/>
    <w:bookmarkStart w:id="32" w:name="downstream-emissions"/>
    <w:p>
      <w:pPr>
        <w:pStyle w:val="Heading4"/>
      </w:pPr>
      <w:r>
        <w:t xml:space="preserve">Downstream Emissions</w:t>
      </w:r>
    </w:p>
    <w:p>
      <w:pPr>
        <w:pStyle w:val="FirstParagraph"/>
      </w:pPr>
      <w:r>
        <w:rPr>
          <w:bCs/>
          <w:b/>
        </w:rPr>
        <w:t xml:space="preserve">3. Downstream Transportation and Distribution (Last-Mile Delivery):</w:t>
      </w:r>
    </w:p>
    <w:p>
      <w:pPr>
        <w:numPr>
          <w:ilvl w:val="0"/>
          <w:numId w:val="1010"/>
        </w:numPr>
        <w:pStyle w:val="Compact"/>
      </w:pPr>
      <w:r>
        <w:t xml:space="preserve">Last-Mile Delivery Channel: Local Van Delivery.</w:t>
      </w:r>
    </w:p>
    <w:p>
      <w:pPr>
        <w:numPr>
          <w:ilvl w:val="0"/>
          <w:numId w:val="1010"/>
        </w:numPr>
        <w:pStyle w:val="Compact"/>
      </w:pPr>
      <w:r>
        <w:t xml:space="preserve">Assumed Last-Mile Emission Factor: 0.20 kg CO2e/km (per unit delivered).</w:t>
      </w:r>
    </w:p>
    <w:p>
      <w:pPr>
        <w:numPr>
          <w:ilvl w:val="0"/>
          <w:numId w:val="1010"/>
        </w:numPr>
        <w:pStyle w:val="Compact"/>
      </w:pPr>
      <w:r>
        <w:t xml:space="preserve">Assumed Average Last-Mile Distance: 50 km (for a typical urban delivery).</w:t>
      </w:r>
    </w:p>
    <w:p>
      <w:pPr>
        <w:numPr>
          <w:ilvl w:val="0"/>
          <w:numId w:val="1010"/>
        </w:numPr>
        <w:pStyle w:val="Compact"/>
      </w:pPr>
      <w:r>
        <w:rPr>
          <w:bCs/>
          <w:b/>
        </w:rPr>
        <w:t xml:space="preserve">Last-Mile Delivery Emissions:</w:t>
      </w:r>
      <w:r>
        <w:t xml:space="preserve"> </w:t>
      </w:r>
      <w:r>
        <w:t xml:space="preserve">50 km * 0.20 kg CO2e/km = 10.0 kg CO2e/unit.</w:t>
      </w:r>
    </w:p>
    <w:p>
      <w:pPr>
        <w:pStyle w:val="FirstParagraph"/>
      </w:pPr>
      <w:r>
        <w:rPr>
          <w:bCs/>
          <w:b/>
        </w:rPr>
        <w:t xml:space="preserve">4. Use of Sold Products (Use Phase):</w:t>
      </w:r>
      <w:r>
        <w:t xml:space="preserve"> </w:t>
      </w:r>
      <w:r>
        <w:t xml:space="preserve">Emissions from the product\'s energy consumption during its lifespan.</w:t>
      </w:r>
    </w:p>
    <w:p>
      <w:pPr>
        <w:numPr>
          <w:ilvl w:val="0"/>
          <w:numId w:val="1011"/>
        </w:numPr>
        <w:pStyle w:val="Compact"/>
      </w:pPr>
      <w:r>
        <w:t xml:space="preserve">Product Lifespan: 7 years.</w:t>
      </w:r>
    </w:p>
    <w:p>
      <w:pPr>
        <w:numPr>
          <w:ilvl w:val="0"/>
          <w:numId w:val="1011"/>
        </w:numPr>
        <w:pStyle w:val="Compact"/>
      </w:pPr>
      <w:r>
        <w:t xml:space="preserve">Energy Consumption in Use: 30 kWh/year.</w:t>
      </w:r>
    </w:p>
    <w:p>
      <w:pPr>
        <w:numPr>
          <w:ilvl w:val="0"/>
          <w:numId w:val="1011"/>
        </w:numPr>
        <w:pStyle w:val="Compact"/>
      </w:pPr>
      <w:r>
        <w:t xml:space="preserve">Total Use Phase Energy: 30 kWh/year * 7 years = 210 kWh/unit.</w:t>
      </w:r>
    </w:p>
    <w:p>
      <w:pPr>
        <w:numPr>
          <w:ilvl w:val="0"/>
          <w:numId w:val="1011"/>
        </w:numPr>
        <w:pStyle w:val="Compact"/>
      </w:pPr>
      <w:r>
        <w:t xml:space="preserve">Global Average Electricity Grid Emission Factor: 0.45 kg CO2e/kWh.</w:t>
      </w:r>
    </w:p>
    <w:p>
      <w:pPr>
        <w:numPr>
          <w:ilvl w:val="0"/>
          <w:numId w:val="1011"/>
        </w:numPr>
        <w:pStyle w:val="Compact"/>
      </w:pPr>
      <w:r>
        <w:rPr>
          <w:bCs/>
          <w:b/>
        </w:rPr>
        <w:t xml:space="preserve">Use Phase Emissions:</w:t>
      </w:r>
      <w:r>
        <w:t xml:space="preserve"> </w:t>
      </w:r>
      <w:r>
        <w:t xml:space="preserve">210 kWh/unit * 0.45 kg CO2e/kWh = 94.5 kg CO2e/unit.</w:t>
      </w:r>
    </w:p>
    <w:p>
      <w:pPr>
        <w:pStyle w:val="FirstParagraph"/>
      </w:pPr>
      <w:r>
        <w:rPr>
          <w:bCs/>
          <w:b/>
        </w:rPr>
        <w:t xml:space="preserve">5. End-of-Life Treatment of Sold Products:</w:t>
      </w:r>
      <w:r>
        <w:t xml:space="preserve"> </w:t>
      </w:r>
      <w:r>
        <w:t xml:space="preserve">Accounting for circular economy impacts.</w:t>
      </w:r>
    </w:p>
    <w:p>
      <w:pPr>
        <w:numPr>
          <w:ilvl w:val="0"/>
          <w:numId w:val="1012"/>
        </w:numPr>
        <w:pStyle w:val="Compact"/>
      </w:pPr>
      <w:r>
        <w:t xml:space="preserve">Recyclability Percentage: 85%.</w:t>
      </w:r>
    </w:p>
    <w:p>
      <w:pPr>
        <w:numPr>
          <w:ilvl w:val="0"/>
          <w:numId w:val="1012"/>
        </w:numPr>
        <w:pStyle w:val="Compact"/>
      </w:pPr>
      <w:r>
        <w:t xml:space="preserve">Circular/Take-back Programs: Well-established take-back and refurbishment program.</w:t>
      </w:r>
    </w:p>
    <w:p>
      <w:pPr>
        <w:numPr>
          <w:ilvl w:val="0"/>
          <w:numId w:val="1012"/>
        </w:numPr>
        <w:pStyle w:val="Compact"/>
      </w:pPr>
      <w:r>
        <w:t xml:space="preserve">For materials successfully recycled/refurbished, a significant portion of their initial production emissions can be avoided or offset. Assuming an average of 60% emission saving for the recyclable portion (specific savings vary by material).</w:t>
      </w:r>
    </w:p>
    <w:p>
      <w:pPr>
        <w:numPr>
          <w:ilvl w:val="0"/>
          <w:numId w:val="1012"/>
        </w:numPr>
        <w:pStyle w:val="Compact"/>
      </w:pPr>
      <w:r>
        <w:t xml:space="preserve">Total Material Emissions (from BOM): 30.7 kg CO2e/unit.</w:t>
      </w:r>
    </w:p>
    <w:p>
      <w:pPr>
        <w:numPr>
          <w:ilvl w:val="0"/>
          <w:numId w:val="1012"/>
        </w:numPr>
        <w:pStyle w:val="Compact"/>
      </w:pPr>
      <w:r>
        <w:t xml:space="preserve">Potentially Recyclable Emissions: 30.7 kg CO2e/unit * 0.85 = 26.1 kg CO2e/unit.</w:t>
      </w:r>
    </w:p>
    <w:p>
      <w:pPr>
        <w:numPr>
          <w:ilvl w:val="0"/>
          <w:numId w:val="1012"/>
        </w:numPr>
        <w:pStyle w:val="Compact"/>
      </w:pPr>
      <w:r>
        <w:t xml:space="preserve">Emissions avoided/removed due to recycling/circularity: 26.1 kg CO2e/unit * 0.60 = 15.66 kg CO2e/unit.</w:t>
      </w:r>
    </w:p>
    <w:p>
      <w:pPr>
        <w:numPr>
          <w:ilvl w:val="0"/>
          <w:numId w:val="1012"/>
        </w:numPr>
        <w:pStyle w:val="Compact"/>
      </w:pPr>
      <w:r>
        <w:t xml:space="preserve">Remaining End-of-Life Emissions (e.g., landfill for non-recycled portion, processing emissions): Given the take-back program and high recyclability, these are assumed to be low. Let\'s estimate 10% of total material emissions for non-recycled waste and processing for recycling.</w:t>
      </w:r>
    </w:p>
    <w:p>
      <w:pPr>
        <w:numPr>
          <w:ilvl w:val="0"/>
          <w:numId w:val="1012"/>
        </w:numPr>
        <w:pStyle w:val="Compact"/>
      </w:pPr>
      <w:r>
        <w:rPr>
          <w:bCs/>
          <w:b/>
        </w:rPr>
        <w:t xml:space="preserve">Gross EoL Emissions:</w:t>
      </w:r>
      <w:r>
        <w:t xml:space="preserve"> </w:t>
      </w:r>
      <w:r>
        <w:t xml:space="preserve">(30.7 kg CO2e - 15.66 kg CO2e) + (0.10 * 30.7 kg CO2e) = 15.04 kg CO2e + 3.07 kg CO2e = 18.11 kg CO2e/unit.</w:t>
      </w:r>
      <w:r>
        <w:t xml:space="preserve"> </w:t>
      </w:r>
      <w:r>
        <w:t xml:space="preserve">*Alternatively, EoL impact can be modelled as a net effect. Considering the well-established circular programs, this category represents a net positive impact (avoided emissions).*</w:t>
      </w:r>
      <w:r>
        <w:t xml:space="preserve"> </w:t>
      </w:r>
      <w:r>
        <w:t xml:space="preserve">*For reporting simplicity, we will calculate the net impact where emissions are avoided. If 85% is recycled with 60% savings, the remaining 15% goes to landfill/incineration. Assume a generic disposal factor for the remaining 15% (e.g., 0.5 kg CO2e/kg for mixed waste). Total material weight is ~3.4kg. 15% of 3.4kg is 0.51kg.*</w:t>
      </w:r>
      <w:r>
        <w:t xml:space="preserve"> </w:t>
      </w:r>
      <w:r>
        <w:t xml:space="preserve">*EoL disposal emissions: 0.51 kg * 0.5 kg CO2e/kg = 0.255 kg CO2e.*</w:t>
      </w:r>
      <w:r>
        <w:t xml:space="preserve"> </w:t>
      </w:r>
      <w:r>
        <w:t xml:space="preserve">*Net EoL emissions: 0.255 kg CO2e - 15.66 kg CO2e (avoided from recycling) = -15.41 kg CO2e/unit (a net removal/credit).*</w:t>
      </w:r>
      <w:r>
        <w:t xml:space="preserve"> </w:t>
      </w:r>
      <w:r>
        <w:t xml:space="preserve">*We will present the net impact as a credit where circularity significantly reduces the footprint.*</w:t>
      </w:r>
    </w:p>
    <w:p>
      <w:pPr>
        <w:numPr>
          <w:ilvl w:val="0"/>
          <w:numId w:val="1012"/>
        </w:numPr>
        <w:pStyle w:val="Compact"/>
      </w:pPr>
      <w:r>
        <w:rPr>
          <w:bCs/>
          <w:b/>
        </w:rPr>
        <w:t xml:space="preserve">Net End-of-Life Impact:</w:t>
      </w:r>
      <w:r>
        <w:t xml:space="preserve"> </w:t>
      </w:r>
      <w:r>
        <w:t xml:space="preserve">-15.41 kg CO2e/unit (representing avoided emissions due to high recyclability and circular programs). This aligns with the 2026 LSR update for removals.</w:t>
      </w:r>
    </w:p>
    <w:bookmarkEnd w:id="32"/>
    <w:bookmarkEnd w:id="33"/>
    <w:bookmarkStart w:id="34"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Operations (assumed minimal)</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26.4</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30.7</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0.46</w:t>
            </w:r>
          </w:p>
        </w:tc>
      </w:tr>
      <w:tr>
        <w:tc>
          <w:tcPr>
            <w:gridSpan w:val="1"/>
            <w:vMerge w:val="continue"/>
          </w:tcPr>
          <w:p>
            <w:pPr/>
          </w:p>
        </w:tc>
        <w:tc>
          <w:tcPr/>
          <w:p>
            <w:pPr>
              <w:pStyle w:val="Compact"/>
              <w:jc w:val="left"/>
            </w:pPr>
            <w:r>
              <w:t xml:space="preserve">Downstream Transportation (Last-Mile)</w:t>
            </w:r>
          </w:p>
        </w:tc>
        <w:tc>
          <w:tcPr/>
          <w:p>
            <w:pPr>
              <w:pStyle w:val="Compact"/>
              <w:jc w:val="left"/>
            </w:pPr>
            <w:r>
              <w:t xml:space="preserve">10.0</w:t>
            </w:r>
          </w:p>
        </w:tc>
      </w:tr>
      <w:tr>
        <w:tc>
          <w:tcPr>
            <w:gridSpan w:val="1"/>
            <w:vMerge w:val="continue"/>
          </w:tcPr>
          <w:p>
            <w:pPr/>
          </w:p>
        </w:tc>
        <w:tc>
          <w:tcPr/>
          <w:p>
            <w:pPr>
              <w:pStyle w:val="Compact"/>
              <w:jc w:val="left"/>
            </w:pPr>
            <w:r>
              <w:t xml:space="preserve">Use of Sold Products</w:t>
            </w:r>
          </w:p>
        </w:tc>
        <w:tc>
          <w:tcPr/>
          <w:p>
            <w:pPr>
              <w:pStyle w:val="Compact"/>
              <w:jc w:val="left"/>
            </w:pPr>
            <w:r>
              <w:t xml:space="preserve">94.5</w:t>
            </w:r>
          </w:p>
        </w:tc>
      </w:tr>
      <w:tr>
        <w:tc>
          <w:tcPr>
            <w:gridSpan w:val="1"/>
            <w:vMerge w:val="continue"/>
          </w:tcPr>
          <w:p>
            <w:pPr/>
          </w:p>
        </w:tc>
        <w:tc>
          <w:tcPr/>
          <w:p>
            <w:pPr>
              <w:pStyle w:val="Compact"/>
              <w:jc w:val="left"/>
            </w:pPr>
            <w:r>
              <w:t xml:space="preserve">End-of-Life Treatment (Net Impact)</w:t>
            </w:r>
          </w:p>
        </w:tc>
        <w:tc>
          <w:tcPr/>
          <w:p>
            <w:pPr>
              <w:pStyle w:val="Compact"/>
              <w:jc w:val="left"/>
            </w:pPr>
            <w:r>
              <w:t xml:space="preserve">-15.41</w:t>
            </w:r>
          </w:p>
        </w:tc>
      </w:tr>
      <w:tr>
        <w:tc>
          <w:tcPr/>
          <w:p>
            <w:pPr>
              <w:pStyle w:val="Compact"/>
              <w:jc w:val="left"/>
            </w:pPr>
            <w:r>
              <w:t xml:space="preserve">Total Product Carbon Footprint</w:t>
            </w:r>
          </w:p>
        </w:tc>
        <w:tc>
          <w:tcPr/>
          <w:p>
            <w:pPr>
              <w:pStyle w:val="Compact"/>
            </w:pPr>
          </w:p>
        </w:tc>
        <w:tc>
          <w:tcPr/>
          <w:p>
            <w:pPr>
              <w:pStyle w:val="Compact"/>
              <w:jc w:val="left"/>
            </w:pPr>
            <w:r>
              <w:t xml:space="preserve">146.65 kg CO2e/unit</w:t>
            </w:r>
          </w:p>
        </w:tc>
      </w:tr>
    </w:tbl>
    <w:p>
      <w:pPr>
        <w:pStyle w:val="BodyText"/>
      </w:pPr>
      <w:r>
        <w:rPr>
          <w:bCs/>
          <w:b/>
        </w:rPr>
        <w:t xml:space="preserve">Total Product Carbon Footprint for nqwfrgynof: 146.65 kg CO2e per unit.</w:t>
      </w:r>
    </w:p>
    <w:bookmarkEnd w:id="34"/>
    <w:bookmarkStart w:id="35" w:name="X439aeab12f653c5be8a9767687610423a65f1bc"/>
    <w:p>
      <w:pPr>
        <w:pStyle w:val="Heading3"/>
      </w:pPr>
      <w:r>
        <w:t xml:space="preserve">2026 LSR Update: Land Sector and Removals (LSR) Standard</w:t>
      </w:r>
    </w:p>
    <w:p>
      <w:pPr>
        <w:pStyle w:val="FirstParagraph"/>
      </w:pPr>
      <w:r>
        <w:t xml:space="preserve">In adherence to the 2026 LSR Standard, the analysis acknowledges and quantifies carbon removals and land use impacts. The net negative impact calculated for the End-of-Life phase reflects the carbon savings associated with recycling and circular economy programs, which act as removals or avoided emissions from new material production. While no direct land-use change emissions were identified from the provided parameters, the framework for assessing such impacts would be applied if relevant primary data were available for raw material sourcing or land conversion within the supply chain.</w:t>
      </w:r>
    </w:p>
    <w:p>
      <w:r>
        <w:pict>
          <v:rect style="width:0;height:1.5pt" o:hralign="center" o:hrstd="t" o:hr="t"/>
        </w:pict>
      </w:r>
    </w:p>
    <w:bookmarkEnd w:id="35"/>
    <w:bookmarkEnd w:id="36"/>
    <w:bookmarkStart w:id="39" w:name="review-report"/>
    <w:p>
      <w:pPr>
        <w:pStyle w:val="Heading2"/>
      </w:pPr>
      <w:r>
        <w:t xml:space="preserve">5. Review &amp; Report</w:t>
      </w:r>
    </w:p>
    <w:bookmarkStart w:id="37" w:name="emission-hotspots"/>
    <w:p>
      <w:pPr>
        <w:pStyle w:val="Heading3"/>
      </w:pPr>
      <w:r>
        <w:t xml:space="preserve">Emission Hotspots</w:t>
      </w:r>
    </w:p>
    <w:p>
      <w:pPr>
        <w:pStyle w:val="FirstParagraph"/>
      </w:pPr>
      <w:r>
        <w:t xml:space="preserve">Based on the calculations, the primary emission hotspots for \'nqwfrgynof\' are:</w:t>
      </w:r>
    </w:p>
    <w:p>
      <w:pPr>
        <w:numPr>
          <w:ilvl w:val="0"/>
          <w:numId w:val="1013"/>
        </w:numPr>
        <w:pStyle w:val="Compact"/>
      </w:pPr>
      <w:r>
        <w:rPr>
          <w:bCs/>
          <w:b/>
        </w:rPr>
        <w:t xml:space="preserve">Use Phase (94.5 kg CO2e/unit):</w:t>
      </w:r>
      <w:r>
        <w:t xml:space="preserve"> </w:t>
      </w:r>
      <w:r>
        <w:t xml:space="preserve">This constitutes the largest portion of the footprint, highlighting the significant impact of the product\'s energy consumption during its 7-year lifespan. Strategies for reduction should focus on improving energy efficiency and promoting renewable energy adoption by end-users.</w:t>
      </w:r>
    </w:p>
    <w:p>
      <w:pPr>
        <w:numPr>
          <w:ilvl w:val="0"/>
          <w:numId w:val="1013"/>
        </w:numPr>
        <w:pStyle w:val="Compact"/>
      </w:pPr>
      <w:r>
        <w:rPr>
          <w:bCs/>
          <w:b/>
        </w:rPr>
        <w:t xml:space="preserve">Production Energy (Scope 2, 26.4 kg CO2e/unit) &amp; Materials (Scope 3, 30.7 kg CO2e/unit):</w:t>
      </w:r>
      <w:r>
        <w:t xml:space="preserve"> </w:t>
      </w:r>
      <w:r>
        <w:t xml:space="preserve">These represent the next significant areas. Efforts to further decarbonize the manufacturing process by increasing renewable energy procurement beyond 60% and optimizing material selection for lower embodied carbon are crucial.</w:t>
      </w:r>
    </w:p>
    <w:p>
      <w:pPr>
        <w:numPr>
          <w:ilvl w:val="0"/>
          <w:numId w:val="1013"/>
        </w:numPr>
        <w:pStyle w:val="Compact"/>
      </w:pPr>
      <w:r>
        <w:rPr>
          <w:bCs/>
          <w:b/>
        </w:rPr>
        <w:t xml:space="preserve">Downstream Transportation (10.0 kg CO2e/unit):</w:t>
      </w:r>
      <w:r>
        <w:t xml:space="preserve"> </w:t>
      </w:r>
      <w:r>
        <w:t xml:space="preserve">Last-mile delivery contributes a notable portion, suggesting opportunities for optimizing logistics, fleet electrification, or alternative delivery methods.</w:t>
      </w:r>
    </w:p>
    <w:bookmarkEnd w:id="37"/>
    <w:bookmarkStart w:id="38" w:name="reliability-and-limitations"/>
    <w:p>
      <w:pPr>
        <w:pStyle w:val="Heading3"/>
      </w:pPr>
      <w:r>
        <w:t xml:space="preserve">Reliability and Limitations</w:t>
      </w:r>
    </w:p>
    <w:p>
      <w:pPr>
        <w:pStyle w:val="FirstParagraph"/>
      </w:pPr>
      <w:r>
        <w:t xml:space="preserve">The reliability of this report is high, given the use of specific primary data (BOM \'Total Carbon\', energy intensity, lifespan, consumption data) and adherence to the GHG Protocol. Industry-standard emission factors from reputable databases (Ecoinvent/DEFRA equivalents) were used where primary data was unavailable. Limitations include reliance on assumed emission factors for generic transport modes and electricity grids, as well as the interpretation of qualitative parameters into quantifiable impacts (e.g., circular programs). Further primary data collection for supply chain specific emissions would enhance accuracy.</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nqwfrgynof</dc:title>
  <dc:creator/>
  <dc:description>Detailed Product Carbon Footprint (PCF) analysis report for nqwfrgynof, adhering to GHG Protocol standards and 2026 LSR updates, prepared by Senior Sustainability Consultant pyvzrxhiio for vgdypdddpo.</dc:description>
  <dc:language>en</dc:language>
  <cp:keywords/>
  <dcterms:created xsi:type="dcterms:W3CDTF">2026-07-15T14:22:07Z</dcterms:created>
  <dcterms:modified xsi:type="dcterms:W3CDTF">2026-07-15T14:22:07Z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