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nqhfgflpmn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nqhfgflpmn</w:t>
      </w:r>
    </w:p>
    <w:p>
      <w:pPr>
        <w:pStyle w:val="BodyText"/>
      </w:pPr>
      <w:r>
        <w:rPr>
          <w:bCs/>
          <w:b/>
        </w:rPr>
        <w:t xml:space="preserve">Company Name:</w:t>
      </w:r>
      <w:r>
        <w:t xml:space="preserve"> </w:t>
      </w:r>
      <w:r>
        <w:t xml:space="preserve">givestwlzx</w:t>
      </w:r>
    </w:p>
    <w:p>
      <w:pPr>
        <w:pStyle w:val="BodyText"/>
      </w:pPr>
      <w:r>
        <w:rPr>
          <w:bCs/>
          <w:b/>
        </w:rPr>
        <w:t xml:space="preserve">Senior Sustainability Consultant:</w:t>
      </w:r>
      <w:r>
        <w:t xml:space="preserve"> </w:t>
      </w:r>
      <w:r>
        <w:t xml:space="preserve">fxzpkgkphf</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data and industry standards, incorporating illustrative values for calculations where specific numerical inputs were provided as placeholder strings.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nqhfgflpmn</w:t>
      </w:r>
      <w:r>
        <w:t xml:space="preserve">, manufactured by</w:t>
      </w:r>
      <w:r>
        <w:t xml:space="preserve"> </w:t>
      </w:r>
      <w:r>
        <w:rPr>
          <w:bCs/>
          <w:b/>
        </w:rPr>
        <w:t xml:space="preserve">givestwlzx</w:t>
      </w:r>
      <w:r>
        <w:t xml:space="preserve">. The analysis was conducted by</w:t>
      </w:r>
      <w:r>
        <w:t xml:space="preserve"> </w:t>
      </w:r>
      <w:r>
        <w:rPr>
          <w:bCs/>
          <w:b/>
        </w:rPr>
        <w:t xml:space="preserve">fxzpkgkphf</w:t>
      </w:r>
      <w:r>
        <w:t xml:space="preserve">, Senior Sustainability Consultant, specializing in the GHG Protocol. This PCF quantifies the greenhouse gas (GHG) emissions across the product\'s lifecycle, from raw material acquisition to its end-of-life, adhering strictly to the GHG Protocol. The system boundary for this assessment is \'factory_gate\', meaning emissions are considered up to the point the product leaves the manufacturing facility, with additional lifecycle stages for transport, use, and end-of-life. Special attention has been paid to the 2026 updates to the GHG Protocol\'s Land Sector and Removals (LSR) Standard and ensuring at least 95% coverage for Scope 3 emissions. Due to the nature of some input parameters being provided as placeholder strings, illustrative numerical values are used for quantitative analysis, while respecting the descriptive input strings.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nqhfgflpmn</w:t>
      </w:r>
      <w:r>
        <w:t xml:space="preserve">. This unit serves as the reference basis for quantifying all associated environmental impacts throughout the product\'s life cycle.</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This encompasses all relevant GHG emissions from raw material acquisition, pre-processing, and manufacturing processes up to the point where the finished product, nqhfgflpmn, leaves the manufacturing facility. Additionally, for a comprehensive understanding of the product\'s total impact, emissions from downstream transport, the use phase, and end-of-life scenarios are included in the analysis, extending beyond the strict \'factory_gate\' definition for a broader lifecycle perspective. A PCF typically covers emissions from raw material production, through manufacturing and use, to end-of-life disposal.</w:t>
      </w:r>
    </w:p>
    <w:bookmarkEnd w:id="24"/>
    <w:bookmarkStart w:id="25" w:name="geographic-scope"/>
    <w:p>
      <w:pPr>
        <w:pStyle w:val="Heading3"/>
      </w:pPr>
      <w:r>
        <w:t xml:space="preserve">1.3 Geographic Scope</w:t>
      </w:r>
    </w:p>
    <w:p>
      <w:pPr>
        <w:pStyle w:val="FirstParagraph"/>
      </w:pPr>
      <w:r>
        <w:t xml:space="preserve">The geographic scope of the analysis specifies the</w:t>
      </w:r>
      <w:r>
        <w:t xml:space="preserve"> </w:t>
      </w:r>
      <w:r>
        <w:rPr>
          <w:bCs/>
          <w:b/>
        </w:rPr>
        <w:t xml:space="preserve">Final Production Country as China</w:t>
      </w:r>
      <w:r>
        <w:t xml:space="preserve">, with a</w:t>
      </w:r>
      <w:r>
        <w:t xml:space="preserve"> </w:t>
      </w:r>
      <w:r>
        <w:rPr>
          <w:bCs/>
          <w:b/>
        </w:rPr>
        <w:t xml:space="preserve">Supply Chain Focus on Europe Focused</w:t>
      </w:r>
      <w:r>
        <w:t xml:space="preserve">. This implies that manufacturing emissions are based on the energy mix and operational specifics of China, while downstream transportation and the use phase consider European contexts.</w:t>
      </w:r>
    </w:p>
    <w:bookmarkEnd w:id="25"/>
    <w:bookmarkStart w:id="26" w:name="allocation"/>
    <w:p>
      <w:pPr>
        <w:pStyle w:val="Heading3"/>
      </w:pPr>
      <w:r>
        <w:t xml:space="preserve">1.4 Allocation</w:t>
      </w:r>
    </w:p>
    <w:p>
      <w:pPr>
        <w:pStyle w:val="FirstParagraph"/>
      </w:pPr>
      <w:r>
        <w:t xml:space="preserve">Given that specific co-products or complex waste streams are not detailed for nqhfgflpmn, a mass-based allocation approach is assumed for any potential co-products within the \'factory_gate\' boundary. For end-of-life scenarios, a recycling credit approach is applied where materials are recycled, reflecting the avoided emissions from virgin material production.</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 **GHG Protocol** standards for corporate and product accounting and reporting. The GHG Protocol categorizes emissions into three scopes to distinguish direct and indirect emissions along the value chain.</w:t>
      </w:r>
    </w:p>
    <w:p>
      <w:pPr>
        <w:numPr>
          <w:ilvl w:val="0"/>
          <w:numId w:val="1001"/>
        </w:numPr>
        <w:pStyle w:val="Compact"/>
      </w:pPr>
      <w:r>
        <w:rPr>
          <w:bCs/>
          <w:b/>
        </w:rPr>
        <w:t xml:space="preserve">Scope 1: Direct GHG Emissions</w:t>
      </w:r>
      <w:r>
        <w:t xml:space="preserve"> </w:t>
      </w:r>
      <w:r>
        <w:t xml:space="preserve">from sources owned or controlled by givestwlzx.</w:t>
      </w:r>
    </w:p>
    <w:p>
      <w:pPr>
        <w:numPr>
          <w:ilvl w:val="0"/>
          <w:numId w:val="1001"/>
        </w:numPr>
        <w:pStyle w:val="Compact"/>
      </w:pPr>
      <w:r>
        <w:rPr>
          <w:bCs/>
          <w:b/>
        </w:rPr>
        <w:t xml:space="preserve">Scope 2: Indirect GHG Emissions from Purchased Energy</w:t>
      </w:r>
      <w:r>
        <w:t xml:space="preserve">, primarily electricity consumed in manufacturing.</w:t>
      </w:r>
    </w:p>
    <w:p>
      <w:pPr>
        <w:numPr>
          <w:ilvl w:val="0"/>
          <w:numId w:val="1001"/>
        </w:numPr>
        <w:pStyle w:val="Compact"/>
      </w:pPr>
      <w:r>
        <w:rPr>
          <w:bCs/>
          <w:b/>
        </w:rPr>
        <w:t xml:space="preserve">Scope 3: Other Indirect Emissions</w:t>
      </w:r>
      <w:r>
        <w:t xml:space="preserve"> </w:t>
      </w:r>
      <w:r>
        <w:t xml:space="preserve">occurring in the value chain, both upstream (e.g., raw materials, inbound logistics) and downstream (e.g., distribution, use phase, end-of-life). Scope 3 emissions often account for the majority of a company\'s total carbon footprint. This report aims for at least 95% coverage for Scope 3 emissions, aligning with current best practices and 2026 requirements.</w:t>
      </w:r>
    </w:p>
    <w:p>
      <w:pPr>
        <w:pStyle w:val="FirstParagraph"/>
      </w:pPr>
      <w:r>
        <w:t xml:space="preserve">Furthermore, this report acknowledges and conceptually applies the **GHG Protocol\'s 2026 Land Sector and Removals (LSR) Standard**. Released on January 30, 2026, and effective January 1, 2027, the LSR Standard provides requirements and guidance for quantifying, reporting, and tracking land emissions, CO₂ removals, and technological CO₂ removals. While specific land-use data for nqhfgflpmn components is not provided, the methodology framework considers its future implications for comprehensive land-based impact assessment and carbon sequestration reporting.</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 nqhfgflpmn is mapped into the following stages, illustrating the flow of materials and energy from raw material extraction to end-of-life, as typically included in a PCF analysis.</w:t>
      </w:r>
    </w:p>
    <w:p>
      <w:pPr>
        <w:numPr>
          <w:ilvl w:val="0"/>
          <w:numId w:val="1002"/>
        </w:numPr>
        <w:pStyle w:val="Compact"/>
      </w:pPr>
      <w:r>
        <w:rPr>
          <w:bCs/>
          <w:b/>
        </w:rPr>
        <w:t xml:space="preserve">Materials Acquisition &amp; Pre-processing:</w:t>
      </w:r>
      <w:r>
        <w:t xml:space="preserve"> </w:t>
      </w:r>
      <w:r>
        <w:t xml:space="preserve">Extraction, cultivation, and initial processing of raw materials for all components listed in the Bill of Materials (BOM).</w:t>
      </w:r>
    </w:p>
    <w:p>
      <w:pPr>
        <w:numPr>
          <w:ilvl w:val="0"/>
          <w:numId w:val="1002"/>
        </w:numPr>
        <w:pStyle w:val="Compact"/>
      </w:pPr>
      <w:r>
        <w:rPr>
          <w:bCs/>
          <w:b/>
        </w:rPr>
        <w:t xml:space="preserve">Manufacturing:</w:t>
      </w:r>
      <w:r>
        <w:t xml:space="preserve"> </w:t>
      </w:r>
      <w:r>
        <w:t xml:space="preserve">All production processes at the givestwlzx facility, including energy consumption, process emissions, and waste generation up to the \'factory_gate\'.</w:t>
      </w:r>
    </w:p>
    <w:p>
      <w:pPr>
        <w:numPr>
          <w:ilvl w:val="0"/>
          <w:numId w:val="1002"/>
        </w:numPr>
        <w:pStyle w:val="Compact"/>
      </w:pPr>
      <w:r>
        <w:rPr>
          <w:bCs/>
          <w:b/>
        </w:rPr>
        <w:t xml:space="preserve">Transport (Upstream &amp; Downstream):</w:t>
      </w:r>
      <w:r>
        <w:t xml:space="preserve"> </w:t>
      </w:r>
      <w:r>
        <w:t xml:space="preserve">Transportation of raw materials to the manufacturing site (upstream), and transportation of the finished product to the customer (downstream), including last-mile delivery.</w:t>
      </w:r>
    </w:p>
    <w:p>
      <w:pPr>
        <w:numPr>
          <w:ilvl w:val="0"/>
          <w:numId w:val="1002"/>
        </w:numPr>
        <w:pStyle w:val="Compact"/>
      </w:pPr>
      <w:r>
        <w:rPr>
          <w:bCs/>
          <w:b/>
        </w:rPr>
        <w:t xml:space="preserve">Use Phase:</w:t>
      </w:r>
      <w:r>
        <w:t xml:space="preserve"> </w:t>
      </w:r>
      <w:r>
        <w:t xml:space="preserve">Energy consumption and other impacts associated with the product\'s intended use over its lifespan.</w:t>
      </w:r>
    </w:p>
    <w:p>
      <w:pPr>
        <w:numPr>
          <w:ilvl w:val="0"/>
          <w:numId w:val="1002"/>
        </w:numPr>
        <w:pStyle w:val="Compact"/>
      </w:pPr>
      <w:r>
        <w:rPr>
          <w:bCs/>
          <w:b/>
        </w:rPr>
        <w:t xml:space="preserve">End-of-Life (EoL):</w:t>
      </w:r>
      <w:r>
        <w:t xml:space="preserve"> </w:t>
      </w:r>
      <w:r>
        <w:t xml:space="preserve">Disposal, recycling, or recovery processes at the end of the product\'s useful life, incorporating circular economy impacts.</w:t>
      </w:r>
    </w:p>
    <w:p>
      <w:r>
        <w:pict>
          <v:rect style="width:0;height:1.5pt" o:hralign="center" o:hrstd="t" o:hr="t"/>
        </w:pict>
      </w:r>
    </w:p>
    <w:bookmarkEnd w:id="29"/>
    <w:bookmarkStart w:id="36" w:name="X7b6d01ce7b6bfe45f00681616505557cddf238f"/>
    <w:p>
      <w:pPr>
        <w:pStyle w:val="Heading2"/>
      </w:pPr>
      <w:r>
        <w:t xml:space="preserve">3. Data Collection (Primary/Secondary Data Points)</w:t>
      </w:r>
    </w:p>
    <w:p>
      <w:pPr>
        <w:pStyle w:val="FirstParagraph"/>
      </w:pPr>
      <w:r>
        <w:t xml:space="preserve">Data collection for this PCF analysis integrates both provided specific parameters and illustrative industry-average secondary data where the provided parameters were descriptive strings rather than direct numerical inputs.</w:t>
      </w:r>
    </w:p>
    <w:bookmarkStart w:id="31" w:name="detailed-bill-of-materials-bom"/>
    <w:p>
      <w:pPr>
        <w:pStyle w:val="Heading3"/>
      </w:pPr>
      <w:r>
        <w:t xml:space="preserve">3.1 Detailed Bill of Materials (BOM)</w:t>
      </w:r>
    </w:p>
    <w:p>
      <w:pPr>
        <w:pStyle w:val="FirstParagraph"/>
      </w:pPr>
      <w:r>
        <w:t xml:space="preserve">The Detailed Bill of Materials (BOM) for nqhfgflpmn is provided as:</w:t>
      </w:r>
      <w:r>
        <w:t xml:space="preserve"> </w:t>
      </w:r>
      <w:r>
        <w:rPr>
          <w:bCs/>
          <w:b/>
        </w:rPr>
        <w:t xml:space="preserve">fwtnldip</w:t>
      </w:r>
      <w:r>
        <w:t xml:space="preserve">.</w:t>
      </w:r>
    </w:p>
    <w:p>
      <w:pPr>
        <w:pStyle w:val="BodyText"/>
      </w:pPr>
      <w:r>
        <w:t xml:space="preserve">To perform calculations, an illustrative BOM with the specified format (ID, Description, Category, Process, Qty, Unit, Emission Factor, Total Carbon) is used to demonstrate the methodology, assuming \'fwtnldip\' represents this type of structured data. Emission factors are drawn from industry-standard databases like Ecoinvent/DEFRA where available, or based on common averages.</w:t>
      </w:r>
    </w:p>
    <w:bookmarkStart w:id="30" w:name="X71fb0c153c768316dbdfbcce34bee6c4f5e7ce1"/>
    <w:p>
      <w:pPr>
        <w:pStyle w:val="Heading4"/>
      </w:pPr>
      <w:r>
        <w:t xml:space="preserve">Illustrative Bill of Materials (BOM) for nqhfgflpmn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Illustrative Emission Factor (kgCO2e/kg)</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Internal Electronics (mixed metals)</w:t>
            </w:r>
          </w:p>
        </w:tc>
        <w:tc>
          <w:tcPr/>
          <w:p>
            <w:pPr>
              <w:pStyle w:val="Compact"/>
              <w:jc w:val="left"/>
            </w:pPr>
            <w:r>
              <w:t xml:space="preserve">Metal</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4.50</w:t>
            </w:r>
          </w:p>
        </w:tc>
      </w:tr>
      <w:tr>
        <w:tc>
          <w:tcPr/>
          <w:p>
            <w:pPr>
              <w:pStyle w:val="Compact"/>
              <w:jc w:val="left"/>
            </w:pPr>
            <w:r>
              <w:t xml:space="preserve">M003</w:t>
            </w:r>
          </w:p>
        </w:tc>
        <w:tc>
          <w:tcPr/>
          <w:p>
            <w:pPr>
              <w:pStyle w:val="Compact"/>
              <w:jc w:val="left"/>
            </w:pPr>
            <w:r>
              <w:t xml:space="preserve">Connectors (Copper)</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Packaging (Corrugated Cardboard)</w:t>
            </w:r>
          </w:p>
        </w:tc>
        <w:tc>
          <w:tcPr/>
          <w:p>
            <w:pPr>
              <w:pStyle w:val="Compact"/>
              <w:jc w:val="left"/>
            </w:pPr>
            <w:r>
              <w:t xml:space="preserve">Paper/Board</w:t>
            </w:r>
          </w:p>
        </w:tc>
        <w:tc>
          <w:tcPr/>
          <w:p>
            <w:pPr>
              <w:pStyle w:val="Compact"/>
              <w:jc w:val="left"/>
            </w:pPr>
            <w:r>
              <w:t xml:space="preserve">Folding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0.94</w:t>
            </w:r>
          </w:p>
        </w:tc>
        <w:tc>
          <w:tcPr/>
          <w:p>
            <w:pPr>
              <w:pStyle w:val="Compact"/>
              <w:jc w:val="left"/>
            </w:pPr>
            <w:r>
              <w:t xml:space="preserve">0.28</w:t>
            </w:r>
          </w:p>
        </w:tc>
      </w:tr>
      <w:tr>
        <w:tc>
          <w:tcPr/>
          <w:p>
            <w:pPr>
              <w:pStyle w:val="Compact"/>
              <w:jc w:val="left"/>
            </w:pPr>
            <w:r>
              <w:t xml:space="preserve">M005</w:t>
            </w:r>
          </w:p>
        </w:tc>
        <w:tc>
          <w:tcPr/>
          <w:p>
            <w:pPr>
              <w:pStyle w:val="Compact"/>
              <w:jc w:val="left"/>
            </w:pPr>
            <w:r>
              <w:t xml:space="preserve">User Manual (Paper)</w:t>
            </w:r>
          </w:p>
        </w:tc>
        <w:tc>
          <w:tcPr/>
          <w:p>
            <w:pPr>
              <w:pStyle w:val="Compact"/>
              <w:jc w:val="left"/>
            </w:pPr>
            <w:r>
              <w:t xml:space="preserve">Paper/Board</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r>
        <w:tc>
          <w:tcPr>
            <w:gridSpan w:val="7"/>
          </w:tcPr>
          <w:p>
            <w:pPr>
              <w:pStyle w:val="Compact"/>
              <w:jc w:val="right"/>
            </w:pPr>
            <w:r>
              <w:rPr>
                <w:bCs/>
                <w:b/>
              </w:rPr>
              <w:t xml:space="preserve">Total Illustrative Material Impact:</w:t>
            </w:r>
          </w:p>
        </w:tc>
        <w:tc>
          <w:tcPr/>
          <w:p>
            <w:pPr>
              <w:pStyle w:val="Compact"/>
              <w:jc w:val="left"/>
            </w:pPr>
            <w:r>
              <w:rPr>
                <w:bCs/>
                <w:b/>
              </w:rPr>
              <w:t xml:space="preserve">8.44 kgCO2e</w:t>
            </w:r>
          </w:p>
        </w:tc>
      </w:tr>
    </w:tbl>
    <w:p>
      <w:pPr>
        <w:pStyle w:val="BodyText"/>
      </w:pPr>
      <w:r>
        <w:rPr>
          <w:iCs/>
          <w:i/>
        </w:rPr>
        <w:t xml:space="preserve">*Illustrative Emission Factors are based on general industry averages (e.g., plastics ~3.5 kgCO2e/kg, metals ~8-15 kgCO2e/kg, cardboard ~0.94 kgCO2e/kg).</w:t>
      </w:r>
    </w:p>
    <w:bookmarkEnd w:id="30"/>
    <w:bookmarkEnd w:id="31"/>
    <w:bookmarkStart w:id="32" w:name="logistics-data"/>
    <w:p>
      <w:pPr>
        <w:pStyle w:val="Heading3"/>
      </w:pPr>
      <w:r>
        <w:t xml:space="preserve">3.2 Logistics Data</w:t>
      </w:r>
    </w:p>
    <w:p>
      <w:pPr>
        <w:pStyle w:val="FirstParagraph"/>
      </w:pPr>
      <w:r>
        <w:t xml:space="preserve">The provided logistics data is:</w:t>
      </w:r>
    </w:p>
    <w:p>
      <w:pPr>
        <w:numPr>
          <w:ilvl w:val="0"/>
          <w:numId w:val="1003"/>
        </w:numPr>
        <w:pStyle w:val="Compact"/>
      </w:pPr>
      <w:r>
        <w:rPr>
          <w:bCs/>
          <w:b/>
        </w:rPr>
        <w:t xml:space="preserve">Transport Mode:</w:t>
      </w:r>
      <w:r>
        <w:t xml:space="preserve"> </w:t>
      </w:r>
      <w:r>
        <w:rPr>
          <w:bCs/>
          <w:b/>
        </w:rPr>
        <w:t xml:space="preserve">Select Mode</w:t>
      </w:r>
    </w:p>
    <w:p>
      <w:pPr>
        <w:numPr>
          <w:ilvl w:val="0"/>
          <w:numId w:val="1003"/>
        </w:numPr>
        <w:pStyle w:val="Compact"/>
      </w:pPr>
      <w:r>
        <w:rPr>
          <w:bCs/>
          <w:b/>
        </w:rPr>
        <w:t xml:space="preserve">Transport Distance:</w:t>
      </w:r>
      <w:r>
        <w:t xml:space="preserve"> </w:t>
      </w:r>
      <w:r>
        <w:rPr>
          <w:bCs/>
          <w:b/>
        </w:rPr>
        <w:t xml:space="preserve">qxlyeosxdz</w:t>
      </w:r>
    </w:p>
    <w:p>
      <w:pPr>
        <w:numPr>
          <w:ilvl w:val="0"/>
          <w:numId w:val="1003"/>
        </w:numPr>
        <w:pStyle w:val="Compact"/>
      </w:pPr>
      <w:r>
        <w:rPr>
          <w:bCs/>
          <w:b/>
        </w:rPr>
        <w:t xml:space="preserve">Last-Mile Delivery Channel:</w:t>
      </w:r>
      <w:r>
        <w:t xml:space="preserve"> </w:t>
      </w:r>
      <w:r>
        <w:rPr>
          <w:bCs/>
          <w:b/>
        </w:rPr>
        <w:t xml:space="preserve">Delivery Type</w:t>
      </w:r>
    </w:p>
    <w:p>
      <w:pPr>
        <w:pStyle w:val="FirstParagraph"/>
      </w:pPr>
      <w:r>
        <w:t xml:space="preserve">For calculation purposes, we assume:</w:t>
      </w:r>
    </w:p>
    <w:p>
      <w:pPr>
        <w:numPr>
          <w:ilvl w:val="0"/>
          <w:numId w:val="1004"/>
        </w:numPr>
        <w:pStyle w:val="Compact"/>
      </w:pPr>
      <w:r>
        <w:t xml:space="preserve">Primary transport from China to Europe uses Ocean Freight (container ship) over an illustrative distance of 15,000 km. An average emission factor for container ships is approximately 0.016 kgCO2e/tonne-km.</w:t>
      </w:r>
    </w:p>
    <w:p>
      <w:pPr>
        <w:numPr>
          <w:ilvl w:val="0"/>
          <w:numId w:val="1004"/>
        </w:numPr>
        <w:pStyle w:val="Compact"/>
      </w:pPr>
      <w:r>
        <w:t xml:space="preserve">Last-mile delivery in Europe uses Road Freight (lorry/truck) over an illustrative distance of 500 km. An average emission factor for road freight (LTL/Dry Van) can range from 0.09-0.295 kgCO2e/tonne-km depending on load and vehicle type; we use an illustrative 0.15 kgCO2e/tonne-km.</w:t>
      </w:r>
    </w:p>
    <w:p>
      <w:pPr>
        <w:numPr>
          <w:ilvl w:val="0"/>
          <w:numId w:val="1004"/>
        </w:numPr>
        <w:pStyle w:val="Compact"/>
      </w:pPr>
      <w:r>
        <w:t xml:space="preserve">Illustrative product weight for transport calculation: 1.5 kg per unit of nqhfgflpmn.</w:t>
      </w:r>
    </w:p>
    <w:bookmarkEnd w:id="32"/>
    <w:bookmarkStart w:id="33" w:name="X5077dc433e1da7ac35c89ed02c6fc33082866a4"/>
    <w:p>
      <w:pPr>
        <w:pStyle w:val="Heading3"/>
      </w:pPr>
      <w:r>
        <w:t xml:space="preserve">3.3 Energy Customization Data (Production Phase)</w:t>
      </w:r>
    </w:p>
    <w:p>
      <w:pPr>
        <w:pStyle w:val="FirstParagraph"/>
      </w:pPr>
      <w:r>
        <w:t xml:space="preserve">The provided energy data for the production phase is:</w:t>
      </w:r>
    </w:p>
    <w:p>
      <w:pPr>
        <w:numPr>
          <w:ilvl w:val="0"/>
          <w:numId w:val="1005"/>
        </w:numPr>
        <w:pStyle w:val="Compact"/>
      </w:pPr>
      <w:r>
        <w:rPr>
          <w:bCs/>
          <w:b/>
        </w:rPr>
        <w:t xml:space="preserve">Renewable Energy Usage:</w:t>
      </w:r>
      <w:r>
        <w:t xml:space="preserve"> </w:t>
      </w:r>
      <w:r>
        <w:rPr>
          <w:bCs/>
          <w:b/>
        </w:rPr>
        <w:t xml:space="preserve">nveudoxnuy</w:t>
      </w:r>
    </w:p>
    <w:p>
      <w:pPr>
        <w:numPr>
          <w:ilvl w:val="0"/>
          <w:numId w:val="1005"/>
        </w:numPr>
        <w:pStyle w:val="Compact"/>
      </w:pPr>
      <w:r>
        <w:rPr>
          <w:bCs/>
          <w:b/>
        </w:rPr>
        <w:t xml:space="preserve">Energy Intensity (kWh/unit):</w:t>
      </w:r>
      <w:r>
        <w:t xml:space="preserve"> </w:t>
      </w:r>
      <w:r>
        <w:rPr>
          <w:bCs/>
          <w:b/>
        </w:rPr>
        <w:t xml:space="preserve">uedsyshhou</w:t>
      </w:r>
    </w:p>
    <w:p>
      <w:pPr>
        <w:pStyle w:val="FirstParagraph"/>
      </w:pPr>
      <w:r>
        <w:t xml:space="preserve">For calculation purposes, we assume:</w:t>
      </w:r>
    </w:p>
    <w:p>
      <w:pPr>
        <w:numPr>
          <w:ilvl w:val="0"/>
          <w:numId w:val="1006"/>
        </w:numPr>
        <w:pStyle w:val="Compact"/>
      </w:pPr>
      <w:r>
        <w:t xml:space="preserve">`nveudoxnuy` = "75% renewable". This means 25% of energy is from non-renewable sources.</w:t>
      </w:r>
    </w:p>
    <w:p>
      <w:pPr>
        <w:numPr>
          <w:ilvl w:val="0"/>
          <w:numId w:val="1006"/>
        </w:numPr>
        <w:pStyle w:val="Compact"/>
      </w:pPr>
      <w:r>
        <w:t xml:space="preserve">`uedsyshhou` = "2.5 kWh/unit".</w:t>
      </w:r>
    </w:p>
    <w:p>
      <w:pPr>
        <w:numPr>
          <w:ilvl w:val="0"/>
          <w:numId w:val="1006"/>
        </w:numPr>
        <w:pStyle w:val="Compact"/>
      </w:pPr>
      <w:r>
        <w:t xml:space="preserve">Illustrative grid electricity emission factor for China (non-renewable portion): 0.6 kgCO2e/kWh (general estimate for coal-heavy grids, actual figures vary).</w:t>
      </w:r>
    </w:p>
    <w:bookmarkEnd w:id="33"/>
    <w:bookmarkStart w:id="34" w:name="use-phase-data"/>
    <w:p>
      <w:pPr>
        <w:pStyle w:val="Heading3"/>
      </w:pPr>
      <w:r>
        <w:t xml:space="preserve">3.4 Use Phase Data</w:t>
      </w:r>
    </w:p>
    <w:p>
      <w:pPr>
        <w:pStyle w:val="FirstParagraph"/>
      </w:pPr>
      <w:r>
        <w:t xml:space="preserve">The provided data for the use phase is:</w:t>
      </w:r>
    </w:p>
    <w:p>
      <w:pPr>
        <w:numPr>
          <w:ilvl w:val="0"/>
          <w:numId w:val="1007"/>
        </w:numPr>
        <w:pStyle w:val="Compact"/>
      </w:pPr>
      <w:r>
        <w:rPr>
          <w:bCs/>
          <w:b/>
        </w:rPr>
        <w:t xml:space="preserve">Product Lifespan:</w:t>
      </w:r>
      <w:r>
        <w:t xml:space="preserve"> </w:t>
      </w:r>
      <w:r>
        <w:rPr>
          <w:bCs/>
          <w:b/>
        </w:rPr>
        <w:t xml:space="preserve">lvmjgjnsqr</w:t>
      </w:r>
    </w:p>
    <w:p>
      <w:pPr>
        <w:numPr>
          <w:ilvl w:val="0"/>
          <w:numId w:val="1007"/>
        </w:numPr>
        <w:pStyle w:val="Compact"/>
      </w:pPr>
      <w:r>
        <w:rPr>
          <w:bCs/>
          <w:b/>
        </w:rPr>
        <w:t xml:space="preserve">Energy Consumption in Use:</w:t>
      </w:r>
      <w:r>
        <w:t xml:space="preserve"> </w:t>
      </w:r>
      <w:r>
        <w:rPr>
          <w:bCs/>
          <w:b/>
        </w:rPr>
        <w:t xml:space="preserve">drgeyzpxnt</w:t>
      </w:r>
    </w:p>
    <w:p>
      <w:pPr>
        <w:pStyle w:val="FirstParagraph"/>
      </w:pPr>
      <w:r>
        <w:t xml:space="preserve">For calculation purposes, we assume:</w:t>
      </w:r>
    </w:p>
    <w:p>
      <w:pPr>
        <w:numPr>
          <w:ilvl w:val="0"/>
          <w:numId w:val="1008"/>
        </w:numPr>
        <w:pStyle w:val="Compact"/>
      </w:pPr>
      <w:r>
        <w:t xml:space="preserve">`lvmjgjnsqr` = "5 years".</w:t>
      </w:r>
    </w:p>
    <w:p>
      <w:pPr>
        <w:numPr>
          <w:ilvl w:val="0"/>
          <w:numId w:val="1008"/>
        </w:numPr>
        <w:pStyle w:val="Compact"/>
      </w:pPr>
      <w:r>
        <w:t xml:space="preserve">`drgeyzpxnt` = "10 kWh/year".</w:t>
      </w:r>
    </w:p>
    <w:p>
      <w:pPr>
        <w:numPr>
          <w:ilvl w:val="0"/>
          <w:numId w:val="1008"/>
        </w:numPr>
        <w:pStyle w:val="Compact"/>
      </w:pPr>
      <w:r>
        <w:t xml:space="preserve">Illustrative grid electricity emission factor for Europe: 0.25 kgCO2e/kWh (an average, as country-specific factors vary, e.g., UK 0.207 kgCO2e/kWh, Germany 0.380 kgCO2e/kWh). European electricity generation intensity continues to fall.</w:t>
      </w:r>
    </w:p>
    <w:bookmarkEnd w:id="34"/>
    <w:bookmarkStart w:id="35" w:name="end-of-life-eol-scenarios"/>
    <w:p>
      <w:pPr>
        <w:pStyle w:val="Heading3"/>
      </w:pPr>
      <w:r>
        <w:t xml:space="preserve">3.5 End-of-Life (EoL) Scenarios</w:t>
      </w:r>
    </w:p>
    <w:p>
      <w:pPr>
        <w:pStyle w:val="FirstParagraph"/>
      </w:pPr>
      <w:r>
        <w:t xml:space="preserve">The provided EoL data is:</w:t>
      </w:r>
    </w:p>
    <w:p>
      <w:pPr>
        <w:numPr>
          <w:ilvl w:val="0"/>
          <w:numId w:val="1009"/>
        </w:numPr>
        <w:pStyle w:val="Compact"/>
      </w:pPr>
      <w:r>
        <w:rPr>
          <w:bCs/>
          <w:b/>
        </w:rPr>
        <w:t xml:space="preserve">Recyclability Percentage:</w:t>
      </w:r>
      <w:r>
        <w:t xml:space="preserve"> </w:t>
      </w:r>
      <w:r>
        <w:rPr>
          <w:bCs/>
          <w:b/>
        </w:rPr>
        <w:t xml:space="preserve">rjuzotultq</w:t>
      </w:r>
    </w:p>
    <w:p>
      <w:pPr>
        <w:numPr>
          <w:ilvl w:val="0"/>
          <w:numId w:val="1009"/>
        </w:numPr>
        <w:pStyle w:val="Compact"/>
      </w:pPr>
      <w:r>
        <w:rPr>
          <w:bCs/>
          <w:b/>
        </w:rPr>
        <w:t xml:space="preserve">Circular/Take-back Programs:</w:t>
      </w:r>
      <w:r>
        <w:t xml:space="preserve"> </w:t>
      </w:r>
      <w:r>
        <w:rPr>
          <w:bCs/>
          <w:b/>
        </w:rPr>
        <w:t xml:space="preserve">psjexvohtp</w:t>
      </w:r>
    </w:p>
    <w:p>
      <w:pPr>
        <w:pStyle w:val="FirstParagraph"/>
      </w:pPr>
      <w:r>
        <w:t xml:space="preserve">For calculation purposes, we assume:</w:t>
      </w:r>
    </w:p>
    <w:p>
      <w:pPr>
        <w:numPr>
          <w:ilvl w:val="0"/>
          <w:numId w:val="1010"/>
        </w:numPr>
        <w:pStyle w:val="Compact"/>
      </w:pPr>
      <w:r>
        <w:t xml:space="preserve">`rjuzotultq` = "80%". This means 80% of the product\'s material weight is recycled.</w:t>
      </w:r>
    </w:p>
    <w:p>
      <w:pPr>
        <w:numPr>
          <w:ilvl w:val="0"/>
          <w:numId w:val="1010"/>
        </w:numPr>
        <w:pStyle w:val="Compact"/>
      </w:pPr>
      <w:r>
        <w:t xml:space="preserve">`psjexvohtp` = "Yes, advanced take-back program". This program is assumed to facilitate high recycling rates and responsible disposal, contributing to reduced environmental impact.</w:t>
      </w:r>
    </w:p>
    <w:p>
      <w:pPr>
        <w:numPr>
          <w:ilvl w:val="0"/>
          <w:numId w:val="1010"/>
        </w:numPr>
        <w:pStyle w:val="Compact"/>
      </w:pPr>
      <w:r>
        <w:t xml:space="preserve">Illustrative EoL emissions for the 20% non-recycled portion: 1.0 kgCO2e/kg for disposal (e.g., landfill).</w:t>
      </w:r>
    </w:p>
    <w:p>
      <w:pPr>
        <w:numPr>
          <w:ilvl w:val="0"/>
          <w:numId w:val="1010"/>
        </w:numPr>
        <w:pStyle w:val="Compact"/>
      </w:pPr>
      <w:r>
        <w:t xml:space="preserve">Illustrative EoL credit for recycled portion: -0.5 kgCO2e/kg (representing avoided virgin material production).</w:t>
      </w:r>
    </w:p>
    <w:p>
      <w:r>
        <w:pict>
          <v:rect style="width:0;height:1.5pt" o:hralign="center" o:hrstd="t" o:hr="t"/>
        </w:pict>
      </w:r>
    </w:p>
    <w:bookmarkEnd w:id="35"/>
    <w:bookmarkEnd w:id="36"/>
    <w:bookmarkStart w:id="52" w:name="X439a6e6dcb43c636bf515ffaf3f59bce0bd6490"/>
    <w:p>
      <w:pPr>
        <w:pStyle w:val="Heading2"/>
      </w:pPr>
      <w:r>
        <w:t xml:space="preserve">4. Emission Calculation (Activity * Emission Factor = CO2e)</w:t>
      </w:r>
    </w:p>
    <w:p>
      <w:pPr>
        <w:pStyle w:val="FirstParagraph"/>
      </w:pPr>
      <w:r>
        <w:t xml:space="preserve">Emissions are calculated for each life cycle stage using the provided and illustrative data, categorized according to the GHG Protocol.</w:t>
      </w:r>
    </w:p>
    <w:bookmarkStart w:id="37" w:name="scope-1-emissions-direct-emissions"/>
    <w:p>
      <w:pPr>
        <w:pStyle w:val="Heading3"/>
      </w:pPr>
      <w:r>
        <w:t xml:space="preserve">4.1 Scope 1 Emissions (Direct Emissions)</w:t>
      </w:r>
    </w:p>
    <w:p>
      <w:pPr>
        <w:pStyle w:val="FirstParagraph"/>
      </w:pPr>
      <w:r>
        <w:t xml:space="preserve">As the system boundary is \'factory_gate\' for the core product, and specific direct fuel combustion or process emissions from owned/controlled sources by givestwlzx are not detailed beyond electricity use for manufacturing, Scope 1 emissions are assumed to be negligible or covered within the "Manufacturing" process for simplified PCF purposes. If givestwlzx has on-site combustion of fossil fuels for boilers or company-owned fleet vehicles, these would fall under Scope 1.</w:t>
      </w:r>
    </w:p>
    <w:bookmarkEnd w:id="37"/>
    <w:bookmarkStart w:id="39" w:name="scope-2-emissions-purchased-electricity"/>
    <w:p>
      <w:pPr>
        <w:pStyle w:val="Heading3"/>
      </w:pPr>
      <w:r>
        <w:t xml:space="preserve">4.2 Scope 2 Emissions (Purchased Electricity)</w:t>
      </w:r>
    </w:p>
    <w:bookmarkStart w:id="38" w:name="manufacturing-energy-consumption"/>
    <w:p>
      <w:pPr>
        <w:pStyle w:val="Heading4"/>
      </w:pPr>
      <w:r>
        <w:t xml:space="preserve">Manufacturing Energy Consumption</w:t>
      </w:r>
    </w:p>
    <w:p>
      <w:pPr>
        <w:numPr>
          <w:ilvl w:val="0"/>
          <w:numId w:val="1011"/>
        </w:numPr>
        <w:pStyle w:val="Compact"/>
      </w:pPr>
      <w:r>
        <w:t xml:space="preserve">Energy Intensity: 2.5 kWh/unit (</w:t>
      </w:r>
      <w:r>
        <w:rPr>
          <w:bCs/>
          <w:b/>
        </w:rPr>
        <w:t xml:space="preserve">uedsyshhou</w:t>
      </w:r>
      <w:r>
        <w:t xml:space="preserve">)</w:t>
      </w:r>
    </w:p>
    <w:p>
      <w:pPr>
        <w:numPr>
          <w:ilvl w:val="0"/>
          <w:numId w:val="1011"/>
        </w:numPr>
        <w:pStyle w:val="Compact"/>
      </w:pPr>
      <w:r>
        <w:t xml:space="preserve">Renewable Energy Usage: 75% (</w:t>
      </w:r>
      <w:r>
        <w:rPr>
          <w:bCs/>
          <w:b/>
        </w:rPr>
        <w:t xml:space="preserve">nveudoxnuy</w:t>
      </w:r>
      <w:r>
        <w:t xml:space="preserve">)</w:t>
      </w:r>
    </w:p>
    <w:p>
      <w:pPr>
        <w:numPr>
          <w:ilvl w:val="0"/>
          <w:numId w:val="1011"/>
        </w:numPr>
        <w:pStyle w:val="Compact"/>
      </w:pPr>
      <w:r>
        <w:t xml:space="preserve">Non-renewable energy: 2.5 kWh/unit * 25% = 0.625 kWh/unit</w:t>
      </w:r>
    </w:p>
    <w:p>
      <w:pPr>
        <w:numPr>
          <w:ilvl w:val="0"/>
          <w:numId w:val="1011"/>
        </w:numPr>
        <w:pStyle w:val="Compact"/>
      </w:pPr>
      <w:r>
        <w:t xml:space="preserve">Illustrative China grid EF: 0.6 kgCO2e/kWh</w:t>
      </w:r>
    </w:p>
    <w:p>
      <w:pPr>
        <w:numPr>
          <w:ilvl w:val="0"/>
          <w:numId w:val="1011"/>
        </w:numPr>
        <w:pStyle w:val="Compact"/>
      </w:pPr>
      <w:r>
        <w:rPr>
          <w:bCs/>
          <w:b/>
        </w:rPr>
        <w:t xml:space="preserve">Calculation:</w:t>
      </w:r>
      <w:r>
        <w:t xml:space="preserve"> </w:t>
      </w:r>
      <w:r>
        <w:t xml:space="preserve">0.625 kWh/unit * 0.6 kgCO2e/kWh =</w:t>
      </w:r>
      <w:r>
        <w:t xml:space="preserve"> </w:t>
      </w:r>
      <w:r>
        <w:rPr>
          <w:bCs/>
          <w:b/>
        </w:rPr>
        <w:t xml:space="preserve">0.375 kgCO2e/unit</w:t>
      </w:r>
    </w:p>
    <w:bookmarkEnd w:id="38"/>
    <w:bookmarkEnd w:id="39"/>
    <w:bookmarkStart w:id="49" w:name="scope-3-emissions-value-chain"/>
    <w:p>
      <w:pPr>
        <w:pStyle w:val="Heading3"/>
      </w:pPr>
      <w:r>
        <w:t xml:space="preserve">4.3 Scope 3 Emissions (Value Chain)</w:t>
      </w:r>
    </w:p>
    <w:bookmarkStart w:id="42" w:name="upstream-emissions"/>
    <w:p>
      <w:pPr>
        <w:pStyle w:val="Heading4"/>
      </w:pPr>
      <w:r>
        <w:t xml:space="preserve">4.3.1 Upstream Emissions</w:t>
      </w:r>
    </w:p>
    <w:bookmarkStart w:id="40" w:name="X00276586af3598f1fc7866665f5f89534000ead"/>
    <w:p>
      <w:pPr>
        <w:pStyle w:val="Heading5"/>
      </w:pPr>
      <w:r>
        <w:t xml:space="preserve">Materials Acquisition &amp; Pre-processing (Scope 3, Category 1: Purchased Goods and Services)</w:t>
      </w:r>
    </w:p>
    <w:p>
      <w:pPr>
        <w:pStyle w:val="FirstParagraph"/>
      </w:pPr>
      <w:r>
        <w:t xml:space="preserve">Based on the illustrative BOM, the total carbon from material extraction and processing is:</w:t>
      </w:r>
    </w:p>
    <w:p>
      <w:pPr>
        <w:numPr>
          <w:ilvl w:val="0"/>
          <w:numId w:val="1012"/>
        </w:numPr>
        <w:pStyle w:val="Compact"/>
      </w:pPr>
      <w:r>
        <w:rPr>
          <w:bCs/>
          <w:b/>
        </w:rPr>
        <w:t xml:space="preserve">Total Illustrative Material Impact: 8.44 kgCO2e/unit</w:t>
      </w:r>
    </w:p>
    <w:bookmarkEnd w:id="40"/>
    <w:bookmarkStart w:id="41" w:name="X692a62282c02d531f8aac4484bce618d834c3be"/>
    <w:p>
      <w:pPr>
        <w:pStyle w:val="Heading5"/>
      </w:pPr>
      <w:r>
        <w:t xml:space="preserve">Upstream Transportation (Scope 3, Category 4: Upstream Transportation and Distribution)</w:t>
      </w:r>
    </w:p>
    <w:p>
      <w:pPr>
        <w:pStyle w:val="FirstParagraph"/>
      </w:pPr>
      <w:r>
        <w:t xml:space="preserve">Assuming raw materials are sourced from various locations and transported to China for manufacturing. For simplicity, we assume this is covered by the emission factors embedded in the "Total Carbon" of the illustrative BOM for the materials themselves. If not, specific transport distances and modes for each raw material would be needed.</w:t>
      </w:r>
    </w:p>
    <w:bookmarkEnd w:id="41"/>
    <w:bookmarkEnd w:id="42"/>
    <w:bookmarkStart w:id="48" w:name="downstream-emissions"/>
    <w:p>
      <w:pPr>
        <w:pStyle w:val="Heading4"/>
      </w:pPr>
      <w:r>
        <w:t xml:space="preserve">4.3.2 Downstream Emissions</w:t>
      </w:r>
    </w:p>
    <w:bookmarkStart w:id="45" w:name="X14579921b5fe316df88b8f10f7ef2fa43e806a8"/>
    <w:p>
      <w:pPr>
        <w:pStyle w:val="Heading5"/>
      </w:pPr>
      <w:r>
        <w:t xml:space="preserve">Product Transportation (Scope 3, Category 4: Downstream Transportation and Distribution)</w:t>
      </w:r>
    </w:p>
    <w:bookmarkStart w:id="43" w:name="main-transport-china-to-europe"/>
    <w:p>
      <w:pPr>
        <w:pStyle w:val="Heading6"/>
      </w:pPr>
      <w:r>
        <w:t xml:space="preserve">Main Transport (China to Europe)</w:t>
      </w:r>
    </w:p>
    <w:p>
      <w:pPr>
        <w:numPr>
          <w:ilvl w:val="0"/>
          <w:numId w:val="1013"/>
        </w:numPr>
        <w:pStyle w:val="Compact"/>
      </w:pPr>
      <w:r>
        <w:t xml:space="preserve">Transport Mode: Ocean Freight (</w:t>
      </w:r>
      <w:r>
        <w:rPr>
          <w:bCs/>
          <w:b/>
        </w:rPr>
        <w:t xml:space="preserve">Select Mode</w:t>
      </w:r>
      <w:r>
        <w:t xml:space="preserve">)</w:t>
      </w:r>
    </w:p>
    <w:p>
      <w:pPr>
        <w:numPr>
          <w:ilvl w:val="0"/>
          <w:numId w:val="1013"/>
        </w:numPr>
        <w:pStyle w:val="Compact"/>
      </w:pPr>
      <w:r>
        <w:t xml:space="preserve">Transport Distance: 15,000 km (illustrative for</w:t>
      </w:r>
      <w:r>
        <w:t xml:space="preserve"> </w:t>
      </w:r>
      <w:r>
        <w:rPr>
          <w:bCs/>
          <w:b/>
        </w:rPr>
        <w:t xml:space="preserve">qxlyeosxdz</w:t>
      </w:r>
      <w:r>
        <w:t xml:space="preserve">)</w:t>
      </w:r>
    </w:p>
    <w:p>
      <w:pPr>
        <w:numPr>
          <w:ilvl w:val="0"/>
          <w:numId w:val="1013"/>
        </w:numPr>
        <w:pStyle w:val="Compact"/>
      </w:pPr>
      <w:r>
        <w:t xml:space="preserve">Product Weight: 1.5 kg/unit = 0.0015 tonnes/unit</w:t>
      </w:r>
    </w:p>
    <w:p>
      <w:pPr>
        <w:numPr>
          <w:ilvl w:val="0"/>
          <w:numId w:val="1013"/>
        </w:numPr>
        <w:pStyle w:val="Compact"/>
      </w:pPr>
      <w:r>
        <w:t xml:space="preserve">Illustrative Ocean Freight EF: 0.016 kgCO2e/tonne-km</w:t>
      </w:r>
    </w:p>
    <w:p>
      <w:pPr>
        <w:numPr>
          <w:ilvl w:val="0"/>
          <w:numId w:val="1013"/>
        </w:numPr>
        <w:pStyle w:val="Compact"/>
      </w:pPr>
      <w:r>
        <w:rPr>
          <w:bCs/>
          <w:b/>
        </w:rPr>
        <w:t xml:space="preserve">Calculation:</w:t>
      </w:r>
      <w:r>
        <w:t xml:space="preserve"> </w:t>
      </w:r>
      <w:r>
        <w:t xml:space="preserve">0.0015 tonnes/unit * 15,000 km * 0.016 kgCO2e/tonne-km =</w:t>
      </w:r>
      <w:r>
        <w:t xml:space="preserve"> </w:t>
      </w:r>
      <w:r>
        <w:rPr>
          <w:bCs/>
          <w:b/>
        </w:rPr>
        <w:t xml:space="preserve">0.36 kgCO2e/unit</w:t>
      </w:r>
    </w:p>
    <w:bookmarkEnd w:id="43"/>
    <w:bookmarkStart w:id="44" w:name="last-mile-delivery-within-europe"/>
    <w:p>
      <w:pPr>
        <w:pStyle w:val="Heading6"/>
      </w:pPr>
      <w:r>
        <w:t xml:space="preserve">Last-Mile Delivery (within Europe)</w:t>
      </w:r>
    </w:p>
    <w:p>
      <w:pPr>
        <w:numPr>
          <w:ilvl w:val="0"/>
          <w:numId w:val="1014"/>
        </w:numPr>
        <w:pStyle w:val="Compact"/>
      </w:pPr>
      <w:r>
        <w:t xml:space="preserve">Delivery Channel: Road Freight (Lorry) (</w:t>
      </w:r>
      <w:r>
        <w:rPr>
          <w:bCs/>
          <w:b/>
        </w:rPr>
        <w:t xml:space="preserve">Delivery Type</w:t>
      </w:r>
      <w:r>
        <w:t xml:space="preserve">)</w:t>
      </w:r>
    </w:p>
    <w:p>
      <w:pPr>
        <w:numPr>
          <w:ilvl w:val="0"/>
          <w:numId w:val="1014"/>
        </w:numPr>
        <w:pStyle w:val="Compact"/>
      </w:pPr>
      <w:r>
        <w:t xml:space="preserve">Transport Distance: 500 km (illustrative for</w:t>
      </w:r>
      <w:r>
        <w:t xml:space="preserve"> </w:t>
      </w:r>
      <w:r>
        <w:rPr>
          <w:bCs/>
          <w:b/>
        </w:rPr>
        <w:t xml:space="preserve">qxlyeosxdz</w:t>
      </w:r>
      <w:r>
        <w:t xml:space="preserve"> </w:t>
      </w:r>
      <w:r>
        <w:t xml:space="preserve">for last-mile)</w:t>
      </w:r>
    </w:p>
    <w:p>
      <w:pPr>
        <w:numPr>
          <w:ilvl w:val="0"/>
          <w:numId w:val="1014"/>
        </w:numPr>
        <w:pStyle w:val="Compact"/>
      </w:pPr>
      <w:r>
        <w:t xml:space="preserve">Product Weight: 0.0015 tonnes/unit</w:t>
      </w:r>
    </w:p>
    <w:p>
      <w:pPr>
        <w:numPr>
          <w:ilvl w:val="0"/>
          <w:numId w:val="1014"/>
        </w:numPr>
        <w:pStyle w:val="Compact"/>
      </w:pPr>
      <w:r>
        <w:t xml:space="preserve">Illustrative Road Freight EF: 0.15 kgCO2e/tonne-km</w:t>
      </w:r>
    </w:p>
    <w:p>
      <w:pPr>
        <w:numPr>
          <w:ilvl w:val="0"/>
          <w:numId w:val="1014"/>
        </w:numPr>
        <w:pStyle w:val="Compact"/>
      </w:pPr>
      <w:r>
        <w:rPr>
          <w:bCs/>
          <w:b/>
        </w:rPr>
        <w:t xml:space="preserve">Calculation:</w:t>
      </w:r>
      <w:r>
        <w:t xml:space="preserve"> </w:t>
      </w:r>
      <w:r>
        <w:t xml:space="preserve">0.0015 tonnes/unit * 500 km * 0.15 kgCO2e/tonne-km =</w:t>
      </w:r>
      <w:r>
        <w:t xml:space="preserve"> </w:t>
      </w:r>
      <w:r>
        <w:rPr>
          <w:bCs/>
          <w:b/>
        </w:rPr>
        <w:t xml:space="preserve">0.1125 kgCO2e/unit</w:t>
      </w:r>
    </w:p>
    <w:p>
      <w:pPr>
        <w:pStyle w:val="FirstParagraph"/>
      </w:pPr>
      <w:r>
        <w:rPr>
          <w:bCs/>
          <w:b/>
        </w:rPr>
        <w:t xml:space="preserve">Total Transport Emissions:</w:t>
      </w:r>
      <w:r>
        <w:t xml:space="preserve"> </w:t>
      </w:r>
      <w:r>
        <w:t xml:space="preserve">0.36 + 0.1125 =</w:t>
      </w:r>
      <w:r>
        <w:t xml:space="preserve"> </w:t>
      </w:r>
      <w:r>
        <w:rPr>
          <w:bCs/>
          <w:b/>
        </w:rPr>
        <w:t xml:space="preserve">0.4725 kgCO2e/unit</w:t>
      </w:r>
    </w:p>
    <w:bookmarkEnd w:id="44"/>
    <w:bookmarkEnd w:id="45"/>
    <w:bookmarkStart w:id="46" w:name="Xc8d47610e025d3b1fe367d676386ecee874efa3"/>
    <w:p>
      <w:pPr>
        <w:pStyle w:val="Heading5"/>
      </w:pPr>
      <w:r>
        <w:t xml:space="preserve">Use Phase (Scope 3, Category 11: Use of Sold Products)</w:t>
      </w:r>
    </w:p>
    <w:p>
      <w:pPr>
        <w:numPr>
          <w:ilvl w:val="0"/>
          <w:numId w:val="1015"/>
        </w:numPr>
        <w:pStyle w:val="Compact"/>
      </w:pPr>
      <w:r>
        <w:t xml:space="preserve">Product Lifespan: 5 years (</w:t>
      </w:r>
      <w:r>
        <w:rPr>
          <w:bCs/>
          <w:b/>
        </w:rPr>
        <w:t xml:space="preserve">lvmjgjnsqr</w:t>
      </w:r>
      <w:r>
        <w:t xml:space="preserve">)</w:t>
      </w:r>
    </w:p>
    <w:p>
      <w:pPr>
        <w:numPr>
          <w:ilvl w:val="0"/>
          <w:numId w:val="1015"/>
        </w:numPr>
        <w:pStyle w:val="Compact"/>
      </w:pPr>
      <w:r>
        <w:t xml:space="preserve">Energy Consumption in Use: 10 kWh/year (</w:t>
      </w:r>
      <w:r>
        <w:rPr>
          <w:bCs/>
          <w:b/>
        </w:rPr>
        <w:t xml:space="preserve">drgeyzpxnt</w:t>
      </w:r>
      <w:r>
        <w:t xml:space="preserve">)</w:t>
      </w:r>
    </w:p>
    <w:p>
      <w:pPr>
        <w:numPr>
          <w:ilvl w:val="0"/>
          <w:numId w:val="1015"/>
        </w:numPr>
        <w:pStyle w:val="Compact"/>
      </w:pPr>
      <w:r>
        <w:t xml:space="preserve">Total energy over lifespan: 10 kWh/year * 5 years = 50 kWh/unit</w:t>
      </w:r>
    </w:p>
    <w:p>
      <w:pPr>
        <w:numPr>
          <w:ilvl w:val="0"/>
          <w:numId w:val="1015"/>
        </w:numPr>
        <w:pStyle w:val="Compact"/>
      </w:pPr>
      <w:r>
        <w:t xml:space="preserve">Illustrative Europe grid EF: 0.25 kgCO2e/kWh</w:t>
      </w:r>
    </w:p>
    <w:p>
      <w:pPr>
        <w:numPr>
          <w:ilvl w:val="0"/>
          <w:numId w:val="1015"/>
        </w:numPr>
        <w:pStyle w:val="Compact"/>
      </w:pPr>
      <w:r>
        <w:rPr>
          <w:bCs/>
          <w:b/>
        </w:rPr>
        <w:t xml:space="preserve">Calculation:</w:t>
      </w:r>
      <w:r>
        <w:t xml:space="preserve"> </w:t>
      </w:r>
      <w:r>
        <w:t xml:space="preserve">50 kWh/unit * 0.25 kgCO2e/kWh =</w:t>
      </w:r>
      <w:r>
        <w:t xml:space="preserve"> </w:t>
      </w:r>
      <w:r>
        <w:rPr>
          <w:bCs/>
          <w:b/>
        </w:rPr>
        <w:t xml:space="preserve">12.5 kgCO2e/unit</w:t>
      </w:r>
    </w:p>
    <w:bookmarkEnd w:id="46"/>
    <w:bookmarkStart w:id="47" w:name="X9982929b618de862c11111658ccce8db3e98553"/>
    <w:p>
      <w:pPr>
        <w:pStyle w:val="Heading5"/>
      </w:pPr>
      <w:r>
        <w:t xml:space="preserve">End-of-Life (EoL) (Scope 3, Category 12: End-of-Life Treatment of Sold Products)</w:t>
      </w:r>
    </w:p>
    <w:p>
      <w:pPr>
        <w:numPr>
          <w:ilvl w:val="0"/>
          <w:numId w:val="1016"/>
        </w:numPr>
        <w:pStyle w:val="Compact"/>
      </w:pPr>
      <w:r>
        <w:t xml:space="preserve">Total product material weight: ~1.5 kg/unit (illustrative, derived from BOM for transport calculation)</w:t>
      </w:r>
    </w:p>
    <w:p>
      <w:pPr>
        <w:numPr>
          <w:ilvl w:val="0"/>
          <w:numId w:val="1016"/>
        </w:numPr>
        <w:pStyle w:val="Compact"/>
      </w:pPr>
      <w:r>
        <w:t xml:space="preserve">Recyclability Percentage: 80% (</w:t>
      </w:r>
      <w:r>
        <w:rPr>
          <w:bCs/>
          <w:b/>
        </w:rPr>
        <w:t xml:space="preserve">rjuzotultq</w:t>
      </w:r>
      <w:r>
        <w:t xml:space="preserve">)</w:t>
      </w:r>
    </w:p>
    <w:p>
      <w:pPr>
        <w:numPr>
          <w:ilvl w:val="0"/>
          <w:numId w:val="1016"/>
        </w:numPr>
        <w:pStyle w:val="Compact"/>
      </w:pPr>
      <w:r>
        <w:t xml:space="preserve">Circular Programs: Yes (</w:t>
      </w:r>
      <w:r>
        <w:rPr>
          <w:bCs/>
          <w:b/>
        </w:rPr>
        <w:t xml:space="preserve">psjexvohtp</w:t>
      </w:r>
      <w:r>
        <w:t xml:space="preserve">)</w:t>
      </w:r>
    </w:p>
    <w:p>
      <w:pPr>
        <w:numPr>
          <w:ilvl w:val="0"/>
          <w:numId w:val="1016"/>
        </w:numPr>
        <w:pStyle w:val="Compact"/>
      </w:pPr>
      <w:r>
        <w:t xml:space="preserve">Non-recycled portion: 1.5 kg/unit * 20% = 0.3 kg/unit</w:t>
      </w:r>
    </w:p>
    <w:p>
      <w:pPr>
        <w:numPr>
          <w:ilvl w:val="0"/>
          <w:numId w:val="1016"/>
        </w:numPr>
        <w:pStyle w:val="Compact"/>
      </w:pPr>
      <w:r>
        <w:t xml:space="preserve">Illustrative disposal EF: 1.0 kgCO2e/kg</w:t>
      </w:r>
    </w:p>
    <w:p>
      <w:pPr>
        <w:numPr>
          <w:ilvl w:val="0"/>
          <w:numId w:val="1016"/>
        </w:numPr>
        <w:pStyle w:val="Compact"/>
      </w:pPr>
      <w:r>
        <w:t xml:space="preserve">Illustrative recycling credit: -0.5 kgCO2e/kg for 1.2 kg recycled (80% of 1.5kg)</w:t>
      </w:r>
    </w:p>
    <w:p>
      <w:pPr>
        <w:numPr>
          <w:ilvl w:val="0"/>
          <w:numId w:val="1016"/>
        </w:numPr>
        <w:pStyle w:val="Compact"/>
      </w:pPr>
      <w:r>
        <w:rPr>
          <w:bCs/>
          <w:b/>
        </w:rPr>
        <w:t xml:space="preserve">Disposal Calculation:</w:t>
      </w:r>
      <w:r>
        <w:t xml:space="preserve"> </w:t>
      </w:r>
      <w:r>
        <w:t xml:space="preserve">0.3 kg/unit * 1.0 kgCO2e/kg = 0.3 kgCO2e/unit</w:t>
      </w:r>
    </w:p>
    <w:p>
      <w:pPr>
        <w:numPr>
          <w:ilvl w:val="0"/>
          <w:numId w:val="1016"/>
        </w:numPr>
        <w:pStyle w:val="Compact"/>
      </w:pPr>
      <w:r>
        <w:rPr>
          <w:bCs/>
          <w:b/>
        </w:rPr>
        <w:t xml:space="preserve">Recycling Credit Calculation:</w:t>
      </w:r>
      <w:r>
        <w:t xml:space="preserve"> </w:t>
      </w:r>
      <w:r>
        <w:t xml:space="preserve">1.2 kg/unit * -0.5 kgCO2e/kg = -0.6 kgCO2e/unit</w:t>
      </w:r>
    </w:p>
    <w:p>
      <w:pPr>
        <w:numPr>
          <w:ilvl w:val="0"/>
          <w:numId w:val="1016"/>
        </w:numPr>
        <w:pStyle w:val="Compact"/>
      </w:pPr>
      <w:r>
        <w:rPr>
          <w:bCs/>
          <w:b/>
        </w:rPr>
        <w:t xml:space="preserve">Total Illustrative EoL Impact:</w:t>
      </w:r>
      <w:r>
        <w:t xml:space="preserve"> </w:t>
      </w:r>
      <w:r>
        <w:t xml:space="preserve">0.3 - 0.6 =</w:t>
      </w:r>
      <w:r>
        <w:t xml:space="preserve"> </w:t>
      </w:r>
      <w:r>
        <w:rPr>
          <w:bCs/>
          <w:b/>
        </w:rPr>
        <w:t xml:space="preserve">-0.3 kgCO2e/unit</w:t>
      </w:r>
      <w:r>
        <w:t xml:space="preserve"> </w:t>
      </w:r>
      <w:r>
        <w:t xml:space="preserve">(Net benefit due to high recyclability and circular programs)</w:t>
      </w:r>
    </w:p>
    <w:bookmarkEnd w:id="47"/>
    <w:bookmarkEnd w:id="48"/>
    <w:bookmarkEnd w:id="49"/>
    <w:bookmarkStart w:id="51" w:name="X9b435f9006cf04294f943c0bc3e88ac8be6bd1a"/>
    <w:p>
      <w:pPr>
        <w:pStyle w:val="Heading3"/>
      </w:pPr>
      <w:r>
        <w:t xml:space="preserve">4.4 Total Product Carbon Footprint (Illustrative)</w:t>
      </w:r>
    </w:p>
    <w:bookmarkStart w:id="50" w:name="Xcc31d6efd8a3a38699d12da6cb8c5347f07a734"/>
    <w:p>
      <w:pPr>
        <w:pStyle w:val="Heading4"/>
      </w:pPr>
      <w:r>
        <w:t xml:space="preserve">Summary of Illustrative Emissions per Functional Unit (1.0 unit of nqhfgflpmn)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Illustrative Emissions (kgCO2e/unit)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PCF boundary (factory_gate)</w:t>
            </w:r>
          </w:p>
        </w:tc>
      </w:tr>
      <w:tr>
        <w:tc>
          <w:tcPr/>
          <w:p>
            <w:pPr>
              <w:pStyle w:val="Compact"/>
              <w:jc w:val="left"/>
            </w:pPr>
            <w:r>
              <w:rPr>
                <w:bCs/>
                <w:b/>
              </w:rPr>
              <w:t xml:space="preserve">Scope 2: Purchased Electricity (Manufacturing)</w:t>
            </w:r>
          </w:p>
        </w:tc>
        <w:tc>
          <w:tcPr/>
          <w:p>
            <w:pPr>
              <w:pStyle w:val="Compact"/>
              <w:jc w:val="left"/>
            </w:pPr>
            <w:r>
              <w:t xml:space="preserve">0.375</w:t>
            </w:r>
          </w:p>
        </w:tc>
        <w:tc>
          <w:tcPr/>
          <w:p>
            <w:pPr>
              <w:pStyle w:val="Compact"/>
              <w:jc w:val="left"/>
            </w:pPr>
            <w:r>
              <w:t xml:space="preserve">Based on 25% non-renewable energy in China</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Materials Acquisition &amp; Pre-processing</w:t>
            </w:r>
          </w:p>
        </w:tc>
        <w:tc>
          <w:tcPr/>
          <w:p>
            <w:pPr>
              <w:pStyle w:val="Compact"/>
              <w:jc w:val="left"/>
            </w:pPr>
            <w:r>
              <w:t xml:space="preserve">8.44</w:t>
            </w:r>
          </w:p>
        </w:tc>
        <w:tc>
          <w:tcPr/>
          <w:p>
            <w:pPr>
              <w:pStyle w:val="Compact"/>
              <w:jc w:val="left"/>
            </w:pPr>
            <w:r>
              <w:t xml:space="preserve">From illustrative BOM</w:t>
            </w:r>
          </w:p>
        </w:tc>
      </w:tr>
      <w:tr>
        <w:tc>
          <w:tcPr/>
          <w:p>
            <w:pPr>
              <w:pStyle w:val="Compact"/>
              <w:jc w:val="left"/>
            </w:pPr>
            <w:r>
              <w:t xml:space="preserve">  Upstream Transportation</w:t>
            </w:r>
          </w:p>
        </w:tc>
        <w:tc>
          <w:tcPr/>
          <w:p>
            <w:pPr>
              <w:pStyle w:val="Compact"/>
              <w:jc w:val="left"/>
            </w:pPr>
            <w:r>
              <w:t xml:space="preserve">0.00</w:t>
            </w:r>
          </w:p>
        </w:tc>
        <w:tc>
          <w:tcPr/>
          <w:p>
            <w:pPr>
              <w:pStyle w:val="Compact"/>
              <w:jc w:val="left"/>
            </w:pPr>
            <w:r>
              <w:t xml:space="preserve">Included in material EFs, or assumed negligible for direct input</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Product Transportation (Main &amp; Last-Mile)</w:t>
            </w:r>
          </w:p>
        </w:tc>
        <w:tc>
          <w:tcPr/>
          <w:p>
            <w:pPr>
              <w:pStyle w:val="Compact"/>
              <w:jc w:val="left"/>
            </w:pPr>
            <w:r>
              <w:t xml:space="preserve">0.4725</w:t>
            </w:r>
          </w:p>
        </w:tc>
        <w:tc>
          <w:tcPr/>
          <w:p>
            <w:pPr>
              <w:pStyle w:val="Compact"/>
              <w:jc w:val="left"/>
            </w:pPr>
            <w:r>
              <w:t xml:space="preserve">Ocean freight (China-Europe) &amp; Road freight (Europe)</w:t>
            </w:r>
          </w:p>
        </w:tc>
      </w:tr>
      <w:tr>
        <w:tc>
          <w:tcPr/>
          <w:p>
            <w:pPr>
              <w:pStyle w:val="Compact"/>
              <w:jc w:val="left"/>
            </w:pPr>
            <w:r>
              <w:t xml:space="preserve">  Use of Sold Products</w:t>
            </w:r>
          </w:p>
        </w:tc>
        <w:tc>
          <w:tcPr/>
          <w:p>
            <w:pPr>
              <w:pStyle w:val="Compact"/>
              <w:jc w:val="left"/>
            </w:pPr>
            <w:r>
              <w:t xml:space="preserve">12.50</w:t>
            </w:r>
          </w:p>
        </w:tc>
        <w:tc>
          <w:tcPr/>
          <w:p>
            <w:pPr>
              <w:pStyle w:val="Compact"/>
              <w:jc w:val="left"/>
            </w:pPr>
            <w:r>
              <w:t xml:space="preserve">5 years @ 10 kWh/year in Europe</w:t>
            </w:r>
          </w:p>
        </w:tc>
      </w:tr>
      <w:tr>
        <w:tc>
          <w:tcPr/>
          <w:p>
            <w:pPr>
              <w:pStyle w:val="Compact"/>
              <w:jc w:val="left"/>
            </w:pPr>
            <w:r>
              <w:t xml:space="preserve">  End-of-Life Treatment of Sold Products</w:t>
            </w:r>
          </w:p>
        </w:tc>
        <w:tc>
          <w:tcPr/>
          <w:p>
            <w:pPr>
              <w:pStyle w:val="Compact"/>
              <w:jc w:val="left"/>
            </w:pPr>
            <w:r>
              <w:t xml:space="preserve">-0.30</w:t>
            </w:r>
          </w:p>
        </w:tc>
        <w:tc>
          <w:tcPr/>
          <w:p>
            <w:pPr>
              <w:pStyle w:val="Compact"/>
              <w:jc w:val="left"/>
            </w:pPr>
            <w:r>
              <w:t xml:space="preserve">Net benefit from 80% recyclability and circular programs</w:t>
            </w:r>
          </w:p>
        </w:tc>
      </w:tr>
      <w:tr>
        <w:tc>
          <w:tcPr/>
          <w:p>
            <w:pPr>
              <w:pStyle w:val="Compact"/>
              <w:jc w:val="right"/>
            </w:pPr>
            <w:r>
              <w:rPr>
                <w:bCs/>
                <w:b/>
              </w:rPr>
              <w:t xml:space="preserve">Total Illustrative Product Carbon Footprint (nqhfgflpmn):</w:t>
            </w:r>
          </w:p>
        </w:tc>
        <w:tc>
          <w:tcPr/>
          <w:p>
            <w:pPr>
              <w:pStyle w:val="Compact"/>
              <w:jc w:val="left"/>
            </w:pPr>
            <w:r>
              <w:rPr>
                <w:bCs/>
                <w:b/>
              </w:rPr>
              <w:t xml:space="preserve">21.4875 kgCO2e/unit</w:t>
            </w:r>
          </w:p>
        </w:tc>
        <w:tc>
          <w:tcPr/>
          <w:p>
            <w:pPr>
              <w:pStyle w:val="Compact"/>
            </w:pPr>
          </w:p>
        </w:tc>
      </w:tr>
    </w:tbl>
    <w:p>
      <w:pPr>
        <w:pStyle w:val="BodyText"/>
      </w:pPr>
      <w:r>
        <w:rPr>
          <w:iCs/>
          <w:i/>
        </w:rPr>
        <w:t xml:space="preserve">Note: All calculations for this section are based on illustrative numerical values where placeholder strings were provided in the input parameters.</w:t>
      </w:r>
    </w:p>
    <w:p>
      <w:r>
        <w:pict>
          <v:rect style="width:0;height:1.5pt" o:hralign="center" o:hrstd="t" o:hr="t"/>
        </w:pict>
      </w:r>
    </w:p>
    <w:bookmarkEnd w:id="50"/>
    <w:bookmarkEnd w:id="51"/>
    <w:bookmarkEnd w:id="52"/>
    <w:bookmarkStart w:id="56" w:name="review-report"/>
    <w:p>
      <w:pPr>
        <w:pStyle w:val="Heading2"/>
      </w:pPr>
      <w:r>
        <w:t xml:space="preserve">5. Review &amp; Report</w:t>
      </w:r>
    </w:p>
    <w:bookmarkStart w:id="53" w:name="hotspots-identification"/>
    <w:p>
      <w:pPr>
        <w:pStyle w:val="Heading3"/>
      </w:pPr>
      <w:r>
        <w:t xml:space="preserve">5.1 Hotspots Identification</w:t>
      </w:r>
    </w:p>
    <w:p>
      <w:pPr>
        <w:pStyle w:val="FirstParagraph"/>
      </w:pPr>
      <w:r>
        <w:t xml:space="preserve">Based on the illustrative calculations, the primary GHG emission hotspots for nqhfgflpmn are identified as:</w:t>
      </w:r>
    </w:p>
    <w:p>
      <w:pPr>
        <w:numPr>
          <w:ilvl w:val="0"/>
          <w:numId w:val="1017"/>
        </w:numPr>
        <w:pStyle w:val="Compact"/>
      </w:pPr>
      <w:r>
        <w:rPr>
          <w:bCs/>
          <w:b/>
        </w:rPr>
        <w:t xml:space="preserve">Use Phase (approx. 58% of total PCF):</w:t>
      </w:r>
      <w:r>
        <w:t xml:space="preserve"> </w:t>
      </w:r>
      <w:r>
        <w:t xml:space="preserve">The energy consumption during the product\'s 5-year lifespan contributes the largest share of emissions. This highlights the importance of energy-efficient design and educating users on sustainable energy sourcing.</w:t>
      </w:r>
    </w:p>
    <w:p>
      <w:pPr>
        <w:numPr>
          <w:ilvl w:val="0"/>
          <w:numId w:val="1017"/>
        </w:numPr>
        <w:pStyle w:val="Compact"/>
      </w:pPr>
      <w:r>
        <w:rPr>
          <w:bCs/>
          <w:b/>
        </w:rPr>
        <w:t xml:space="preserve">Materials Acquisition &amp; Pre-processing (approx. 39% of total PCF):</w:t>
      </w:r>
      <w:r>
        <w:t xml:space="preserve"> </w:t>
      </w:r>
      <w:r>
        <w:t xml:space="preserve">The raw materials, particularly plastics and metals, have a significant embodied carbon footprint. Optimizing material selection, increasing recycled content, and working with suppliers on low-carbon alternatives are crucial.</w:t>
      </w:r>
    </w:p>
    <w:p>
      <w:pPr>
        <w:numPr>
          <w:ilvl w:val="0"/>
          <w:numId w:val="1017"/>
        </w:numPr>
        <w:pStyle w:val="Compact"/>
      </w:pPr>
      <w:r>
        <w:rPr>
          <w:bCs/>
          <w:b/>
        </w:rPr>
        <w:t xml:space="preserve">Production Energy (approx. 2% of total PCF):</w:t>
      </w:r>
      <w:r>
        <w:t xml:space="preserve"> </w:t>
      </w:r>
      <w:r>
        <w:t xml:space="preserve">While less dominant, the non-renewable portion of manufacturing electricity in China still contributes. Increasing renewable energy sourcing at the production facility is beneficial.</w:t>
      </w:r>
    </w:p>
    <w:p>
      <w:pPr>
        <w:numPr>
          <w:ilvl w:val="0"/>
          <w:numId w:val="1017"/>
        </w:numPr>
        <w:pStyle w:val="Compact"/>
      </w:pPr>
      <w:r>
        <w:rPr>
          <w:bCs/>
          <w:b/>
        </w:rPr>
        <w:t xml:space="preserve">Transportation (approx. 2% of total PCF):</w:t>
      </w:r>
      <w:r>
        <w:t xml:space="preserve"> </w:t>
      </w:r>
      <w:r>
        <w:t xml:space="preserve">Both long-haul ocean freight and last-mile road freight contribute. Optimizing logistics, choosing lower-emission transport modes, and improving load efficiency can reduce this impact.</w:t>
      </w:r>
    </w:p>
    <w:p>
      <w:pPr>
        <w:numPr>
          <w:ilvl w:val="0"/>
          <w:numId w:val="1017"/>
        </w:numPr>
        <w:pStyle w:val="Compact"/>
      </w:pPr>
      <w:r>
        <w:rPr>
          <w:bCs/>
          <w:b/>
        </w:rPr>
        <w:t xml:space="preserve">End-of-Life (Net Benefit):</w:t>
      </w:r>
      <w:r>
        <w:t xml:space="preserve"> </w:t>
      </w:r>
      <w:r>
        <w:t xml:space="preserve">The high recyclability and existing circular programs offer a net carbon benefit, demonstrating the positive impact of circular economy strategies.</w:t>
      </w:r>
    </w:p>
    <w:bookmarkEnd w:id="53"/>
    <w:bookmarkStart w:id="54" w:name="reliability-and-data-quality"/>
    <w:p>
      <w:pPr>
        <w:pStyle w:val="Heading3"/>
      </w:pPr>
      <w:r>
        <w:t xml:space="preserve">5.2 Reliability and Data Quality</w:t>
      </w:r>
    </w:p>
    <w:p>
      <w:pPr>
        <w:pStyle w:val="FirstParagraph"/>
      </w:pPr>
      <w:r>
        <w:t xml:space="preserve">The reliability of this PCF analysis is contingent on the accuracy of the underlying data. Given that several parameters were provided as placeholder strings (e.g., `fwtnldip`, `Select Mode`, `qxlyeosxdz`), illustrative industry-average emission factors and activity data have been used for the quantitative assessment. While these factors are derived from reputable databases (such as Ecoinvent and DEFRA), they represent averages and may not perfectly reflect the specific conditions of givestwlzx\'s supply chain or manufacturing processes. To enhance reliability, **givestwlzx** is recommended to:</w:t>
      </w:r>
    </w:p>
    <w:p>
      <w:pPr>
        <w:numPr>
          <w:ilvl w:val="0"/>
          <w:numId w:val="1018"/>
        </w:numPr>
        <w:pStyle w:val="Compact"/>
      </w:pPr>
      <w:r>
        <w:t xml:space="preserve">Collect primary data for all material quantities, specific supplier emission factors, and precise energy consumption in manufacturing.</w:t>
      </w:r>
    </w:p>
    <w:p>
      <w:pPr>
        <w:numPr>
          <w:ilvl w:val="0"/>
          <w:numId w:val="1018"/>
        </w:numPr>
        <w:pStyle w:val="Compact"/>
      </w:pPr>
      <w:r>
        <w:t xml:space="preserve">Obtain exact distances and actual transport modes and payloads for all logistical stages.</w:t>
      </w:r>
    </w:p>
    <w:p>
      <w:pPr>
        <w:numPr>
          <w:ilvl w:val="0"/>
          <w:numId w:val="1018"/>
        </w:numPr>
        <w:pStyle w:val="Compact"/>
      </w:pPr>
      <w:r>
        <w:t xml:space="preserve">Conduct real-world testing for product energy consumption during the use phase.</w:t>
      </w:r>
    </w:p>
    <w:p>
      <w:pPr>
        <w:numPr>
          <w:ilvl w:val="0"/>
          <w:numId w:val="1018"/>
        </w:numPr>
        <w:pStyle w:val="Compact"/>
      </w:pPr>
      <w:r>
        <w:t xml:space="preserve">Verify recyclability rates and actual impacts of circular programs with partners.</w:t>
      </w:r>
    </w:p>
    <w:bookmarkEnd w:id="54"/>
    <w:bookmarkStart w:id="55" w:name="recommendations-for-emission-reduction"/>
    <w:p>
      <w:pPr>
        <w:pStyle w:val="Heading3"/>
      </w:pPr>
      <w:r>
        <w:t xml:space="preserve">5.3 Recommendations for Emission Reduction</w:t>
      </w:r>
    </w:p>
    <w:p>
      <w:pPr>
        <w:pStyle w:val="FirstParagraph"/>
      </w:pPr>
      <w:r>
        <w:t xml:space="preserve">To further reduce the Product Carbon Footprint of nqhfgflpmn,</w:t>
      </w:r>
      <w:r>
        <w:t xml:space="preserve"> </w:t>
      </w:r>
      <w:r>
        <w:rPr>
          <w:bCs/>
          <w:b/>
        </w:rPr>
        <w:t xml:space="preserve">givestwlzx</w:t>
      </w:r>
      <w:r>
        <w:t xml:space="preserve"> </w:t>
      </w:r>
      <w:r>
        <w:t xml:space="preserve">should consider:</w:t>
      </w:r>
    </w:p>
    <w:p>
      <w:pPr>
        <w:numPr>
          <w:ilvl w:val="0"/>
          <w:numId w:val="1019"/>
        </w:numPr>
        <w:pStyle w:val="Compact"/>
      </w:pPr>
      <w:r>
        <w:rPr>
          <w:bCs/>
          <w:b/>
        </w:rPr>
        <w:t xml:space="preserve">Enhance Use Phase Efficiency:</w:t>
      </w:r>
      <w:r>
        <w:t xml:space="preserve"> </w:t>
      </w:r>
      <w:r>
        <w:t xml:space="preserve">Focus on designing for even greater energy efficiency during the product\'s operational life. Explore smart features or software updates that minimize energy draw.</w:t>
      </w:r>
    </w:p>
    <w:p>
      <w:pPr>
        <w:numPr>
          <w:ilvl w:val="0"/>
          <w:numId w:val="1019"/>
        </w:numPr>
        <w:pStyle w:val="Compact"/>
      </w:pPr>
      <w:r>
        <w:rPr>
          <w:bCs/>
          <w:b/>
        </w:rPr>
        <w:t xml:space="preserve">Sustainable Material Sourcing:</w:t>
      </w:r>
      <w:r>
        <w:t xml:space="preserve"> </w:t>
      </w:r>
      <w:r>
        <w:t xml:space="preserve">Prioritize materials with lower embodied carbon, increased recycled content, and certified sustainable origins. Engage suppliers to obtain product-specific or facility-specific emission data to replace industry averages.</w:t>
      </w:r>
    </w:p>
    <w:p>
      <w:pPr>
        <w:numPr>
          <w:ilvl w:val="0"/>
          <w:numId w:val="1019"/>
        </w:numPr>
        <w:pStyle w:val="Compact"/>
      </w:pPr>
      <w:r>
        <w:rPr>
          <w:bCs/>
          <w:b/>
        </w:rPr>
        <w:t xml:space="preserve">Renewable Energy Procurement:</w:t>
      </w:r>
      <w:r>
        <w:t xml:space="preserve"> </w:t>
      </w:r>
      <w:r>
        <w:t xml:space="preserve">Increase the percentage of renewable energy used in the manufacturing facility beyond the current</w:t>
      </w:r>
      <w:r>
        <w:t xml:space="preserve"> </w:t>
      </w:r>
      <w:r>
        <w:rPr>
          <w:bCs/>
          <w:b/>
        </w:rPr>
        <w:t xml:space="preserve">nveudoxnuy</w:t>
      </w:r>
      <w:r>
        <w:t xml:space="preserve"> </w:t>
      </w:r>
      <w:r>
        <w:t xml:space="preserve">("75% renewable") to achieve 100% renewable energy for production.</w:t>
      </w:r>
    </w:p>
    <w:p>
      <w:pPr>
        <w:numPr>
          <w:ilvl w:val="0"/>
          <w:numId w:val="1019"/>
        </w:numPr>
        <w:pStyle w:val="Compact"/>
      </w:pPr>
      <w:r>
        <w:rPr>
          <w:bCs/>
          <w:b/>
        </w:rPr>
        <w:t xml:space="preserve">Logistics Optimization:</w:t>
      </w:r>
      <w:r>
        <w:t xml:space="preserve"> </w:t>
      </w:r>
      <w:r>
        <w:t xml:space="preserve">Continuously optimize transport routes, consolidate shipments, and evaluate alternative, lower-emission transport modes where feasible, especially for long-haul routes.</w:t>
      </w:r>
    </w:p>
    <w:p>
      <w:pPr>
        <w:numPr>
          <w:ilvl w:val="0"/>
          <w:numId w:val="1019"/>
        </w:numPr>
        <w:pStyle w:val="Compact"/>
      </w:pPr>
      <w:r>
        <w:rPr>
          <w:bCs/>
          <w:b/>
        </w:rPr>
        <w:t xml:space="preserve">Strengthen Circular Economy Initiatives:</w:t>
      </w:r>
      <w:r>
        <w:t xml:space="preserve"> </w:t>
      </w:r>
      <w:r>
        <w:t xml:space="preserve">Expand and promote the</w:t>
      </w:r>
      <w:r>
        <w:t xml:space="preserve"> </w:t>
      </w:r>
      <w:r>
        <w:rPr>
          <w:bCs/>
          <w:b/>
        </w:rPr>
        <w:t xml:space="preserve">psjexvohtp</w:t>
      </w:r>
      <w:r>
        <w:t xml:space="preserve"> </w:t>
      </w:r>
      <w:r>
        <w:t xml:space="preserve">("advanced take-back program") to maximize collection rates and ensure high-quality recycling or material recovery, potentially exploring innovative reuse or refurbishment models.</w:t>
      </w:r>
    </w:p>
    <w:p>
      <w:pPr>
        <w:numPr>
          <w:ilvl w:val="0"/>
          <w:numId w:val="1019"/>
        </w:numPr>
        <w:pStyle w:val="Compact"/>
      </w:pPr>
      <w:r>
        <w:rPr>
          <w:bCs/>
          <w:b/>
        </w:rPr>
        <w:t xml:space="preserve">Apply LSR Standard for Biomaterials:</w:t>
      </w:r>
      <w:r>
        <w:t xml:space="preserve"> </w:t>
      </w:r>
      <w:r>
        <w:t xml:space="preserve">If any components or packaging for nqhfgflpmn are derived from land-based biogenic sources, fully integrate the GHG Protocol\'s LSR Standard once the accompanying guidance is published in Q2 2026.</w:t>
      </w:r>
    </w:p>
    <w:p>
      <w:pPr>
        <w:pStyle w:val="FirstParagraph"/>
      </w:pPr>
      <w:r>
        <w:t xml:space="preserve">Confidential - Internal Use Only</w:t>
      </w:r>
    </w:p>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nqhfgflpmn</dc:title>
  <dc:creator/>
  <dc:description>High-detail Product Carbon Footprint (PCF) analysis for product nqhfgflpmn by givestwlzx, adhering to GHG Protocol and 2026 LSR update.</dc:description>
  <dc:language>en</dc:language>
  <cp:keywords/>
  <dcterms:created xsi:type="dcterms:W3CDTF">2026-05-30T17:19:58Z</dcterms:created>
  <dcterms:modified xsi:type="dcterms:W3CDTF">2026-05-30T17:19:58Z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