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npwhixkeoe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npwhixkeoe</w:t>
      </w:r>
    </w:p>
    <w:p>
      <w:pPr>
        <w:pStyle w:val="BodyText"/>
      </w:pPr>
      <w:r>
        <w:rPr>
          <w:bCs/>
          <w:b/>
        </w:rPr>
        <w:t xml:space="preserve">Company:</w:t>
      </w:r>
      <w:r>
        <w:t xml:space="preserve"> </w:t>
      </w:r>
      <w:r>
        <w:t xml:space="preserve">eogvtegtjh</w:t>
      </w:r>
    </w:p>
    <w:p>
      <w:pPr>
        <w:pStyle w:val="BodyText"/>
      </w:pPr>
      <w:r>
        <w:rPr>
          <w:bCs/>
          <w:b/>
        </w:rPr>
        <w:t xml:space="preserve">Senior Sustainability Consultant:</w:t>
      </w:r>
      <w:r>
        <w:t xml:space="preserve"> </w:t>
      </w:r>
      <w:r>
        <w:t xml:space="preserve">ohvxzqngip</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real-world conditions and further data refinement.</w:t>
      </w:r>
    </w:p>
    <w:bookmarkEnd w:id="20"/>
    <w:p>
      <w:pPr>
        <w:pStyle w:val="BodyText"/>
      </w:pPr>
      <w:r>
        <w:t xml:space="preserve">Generated Date: June 2, 2026</w:t>
      </w:r>
    </w:p>
    <w:bookmarkStart w:id="42" w:name="executive-summary"/>
    <w:p>
      <w:pPr>
        <w:pStyle w:val="Heading1"/>
      </w:pPr>
      <w:r>
        <w:t xml:space="preserve">Executive Summary</w:t>
      </w:r>
    </w:p>
    <w:p>
      <w:pPr>
        <w:pStyle w:val="FirstParagraph"/>
      </w:pPr>
      <w:r>
        <w:t xml:space="preserve">This report presents a high-detail Product Carbon Footprint (PCF) analysis for the product npwhixkeoe, manufactured by eogvtegtjh. The analysis adheres to the GHG Protocol, including the 2026 Land Sector and Removals (LSR) Standard, and aims for at least 95% Scope 3 coverage. Conducted by Senior Sustainability Consultant ohvxzqngip, this assessment quantifies greenhouse gas (GHG) emissions across the product\'s lifecycle, from material acquisition to end-of-life, identifying key hotspots and informing strategic sustainability initiatives.</w:t>
      </w:r>
    </w:p>
    <w:p>
      <w:r>
        <w:pict>
          <v:rect style="width:0;height:1.5pt" o:hralign="center" o:hrstd="t" o:hr="t"/>
        </w:pict>
      </w:r>
    </w:p>
    <w:bookmarkStart w:id="21" w:name="defining-the-scope"/>
    <w:p>
      <w:pPr>
        <w:pStyle w:val="Heading2"/>
      </w:pPr>
      <w:r>
        <w:t xml:space="preserve">1. Defining the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npwhixkeoe.</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component manufacturing, and transport to the eogvtegtjh factory in China, as well as the manufacturing processes at the factory gate. Downstream emissions (transport to customer, use phase, end-of-life) are also included to provide a comprehensive cradle-to-grave perspective, aligning with GHG Protocol Product Standard requirements for full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while the final assembly occurs in China, a significant portion of upstream materials and components originates from Europe.</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a comprehensive framework for measuring and managing GHG emissions associated with products.</w:t>
      </w:r>
    </w:p>
    <w:p>
      <w:pPr>
        <w:numPr>
          <w:ilvl w:val="0"/>
          <w:numId w:val="1001"/>
        </w:numPr>
        <w:pStyle w:val="Compact"/>
      </w:pPr>
      <w:r>
        <w:rPr>
          <w:bCs/>
          <w:b/>
        </w:rPr>
        <w:t xml:space="preserve">Allocation:</w:t>
      </w:r>
      <w:r>
        <w:t xml:space="preserve"> </w:t>
      </w:r>
      <w:r>
        <w:t xml:space="preserve">Where shared processes or facilities are involved, emissions are allocated to npwhixkeoe based on physical parameters (e.g., mass, volume) or economic value, as appropriate.</w:t>
      </w:r>
    </w:p>
    <w:p>
      <w:r>
        <w:pict>
          <v:rect style="width:0;height:1.5pt" o:hralign="center" o:hrstd="t" o:hr="t"/>
        </w:pict>
      </w:r>
    </w:p>
    <w:bookmarkEnd w:id="21"/>
    <w:bookmarkStart w:id="27" w:name="mapping-the-lifecycle-3.-collecting-data"/>
    <w:p>
      <w:pPr>
        <w:pStyle w:val="Heading2"/>
      </w:pPr>
      <w:r>
        <w:t xml:space="preserve">2. Mapping the Lifecycle &amp; 3. Collecting Data</w:t>
      </w:r>
    </w:p>
    <w:p>
      <w:pPr>
        <w:pStyle w:val="FirstParagraph"/>
      </w:pPr>
      <w:r>
        <w:t xml:space="preserve">The lifecycle of npwhixkeoe has been mapped into several key stages, and data has been collected from various sources to quantify emissions. The assessment leverages primary data where available and secondary data from reputable databases (such as Ecoinvent and DEFRA, as stipulated by the methodology) for generic processes and emission factors.</w:t>
      </w:r>
    </w:p>
    <w:bookmarkStart w:id="22" w:name="X6cabf50606720861dfc0d456c701d65f990a8d1"/>
    <w:p>
      <w:pPr>
        <w:pStyle w:val="Heading3"/>
      </w:pPr>
      <w:r>
        <w:t xml:space="preserve">2.1. Material Acquisition &amp; Pre-processing (Upstream)</w:t>
      </w:r>
    </w:p>
    <w:p>
      <w:pPr>
        <w:pStyle w:val="FirstParagraph"/>
      </w:pPr>
      <w:r>
        <w:t xml:space="preserve">The Detailed Bill of Materials (BOM) for npwhixkeoe (referred to as odjsmvtz) provides the foundational data for material-related emissions. The provided BOM data format is used to calculate the material impact with high accuracy:</w:t>
      </w:r>
    </w:p>
    <w:p>
      <w:pPr>
        <w:pStyle w:val="BodyText"/>
      </w:pPr>
      <w:r>
        <w:rPr>
          <w:iCs/>
          <w:i/>
        </w:rPr>
        <w:t xml:space="preserve">Illustrative BOM Data (based on provided format for odjsmvtz):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Emissions (Illustrative Sum):</w:t>
      </w:r>
      <w:r>
        <w:t xml:space="preserve"> </w:t>
      </w:r>
      <w:r>
        <w:t xml:space="preserve">1.25 + 0.05 + 1.00 + 0.06 + 0.16 = 2.52 kg CO2e</w:t>
      </w:r>
    </w:p>
    <w:bookmarkEnd w:id="22"/>
    <w:bookmarkStart w:id="23" w:name="manufacturing-factory-gate---china"/>
    <w:p>
      <w:pPr>
        <w:pStyle w:val="Heading3"/>
      </w:pPr>
      <w:r>
        <w:t xml:space="preserve">2.2. Manufacturing (Factory Gate - China)</w:t>
      </w:r>
    </w:p>
    <w:p>
      <w:pPr>
        <w:pStyle w:val="FirstParagraph"/>
      </w:pPr>
      <w:r>
        <w:t xml:space="preserve">Energy consumption data for the production phase at the eogvtegtjh facility in China is incorporated:</w:t>
      </w:r>
    </w:p>
    <w:p>
      <w:pPr>
        <w:numPr>
          <w:ilvl w:val="0"/>
          <w:numId w:val="1002"/>
        </w:numPr>
        <w:pStyle w:val="Compact"/>
      </w:pPr>
      <w:r>
        <w:rPr>
          <w:bCs/>
          <w:b/>
        </w:rPr>
        <w:t xml:space="preserve">Energy Intensity:</w:t>
      </w:r>
      <w:r>
        <w:t xml:space="preserve"> </w:t>
      </w:r>
      <w:r>
        <w:t xml:space="preserve">uupsnugihi kWh/unit (Illustrative: 10 kWh/unit).</w:t>
      </w:r>
    </w:p>
    <w:p>
      <w:pPr>
        <w:numPr>
          <w:ilvl w:val="0"/>
          <w:numId w:val="1002"/>
        </w:numPr>
        <w:pStyle w:val="Compact"/>
      </w:pPr>
      <w:r>
        <w:rPr>
          <w:bCs/>
          <w:b/>
        </w:rPr>
        <w:t xml:space="preserve">Renewable Energy Usage:</w:t>
      </w:r>
      <w:r>
        <w:t xml:space="preserve"> </w:t>
      </w:r>
      <w:r>
        <w:t xml:space="preserve">xvkeuordlh% (Illustrative: 50%). This means 50% of the electricity consumed is from renewable sources, and 50% from the local grid mix.</w:t>
      </w:r>
    </w:p>
    <w:bookmarkEnd w:id="23"/>
    <w:bookmarkStart w:id="24" w:name="transport-logistics"/>
    <w:p>
      <w:pPr>
        <w:pStyle w:val="Heading3"/>
      </w:pPr>
      <w:r>
        <w:t xml:space="preserve">2.3. Transport (Logistics)</w:t>
      </w:r>
    </w:p>
    <w:p>
      <w:pPr>
        <w:pStyle w:val="FirstParagraph"/>
      </w:pPr>
      <w:r>
        <w:t xml:space="preserve">Logistics data for both upstream (materials to factory) and downstream (factory to customer) transport are included:</w:t>
      </w:r>
    </w:p>
    <w:p>
      <w:pPr>
        <w:numPr>
          <w:ilvl w:val="0"/>
          <w:numId w:val="1003"/>
        </w:numPr>
        <w:pStyle w:val="Compact"/>
      </w:pPr>
      <w:r>
        <w:rPr>
          <w:bCs/>
          <w:b/>
        </w:rPr>
        <w:t xml:space="preserve">Transport Mode (Main):</w:t>
      </w:r>
      <w:r>
        <w:t xml:space="preserve"> </w:t>
      </w:r>
      <w:r>
        <w:t xml:space="preserve">Select Mode (Illustrative: Ocean Freight for materials from Europe to China, Road Freight for distribution within China).</w:t>
      </w:r>
    </w:p>
    <w:p>
      <w:pPr>
        <w:numPr>
          <w:ilvl w:val="0"/>
          <w:numId w:val="1003"/>
        </w:numPr>
        <w:pStyle w:val="Compact"/>
      </w:pPr>
      <w:r>
        <w:rPr>
          <w:bCs/>
          <w:b/>
        </w:rPr>
        <w:t xml:space="preserve">Transport Distance (Main):</w:t>
      </w:r>
      <w:r>
        <w:t xml:space="preserve"> </w:t>
      </w:r>
      <w:r>
        <w:t xml:space="preserve">zstsrtdxxm (Illustrative: 8000 km for Ocean Freight, 500 km for Road Freight).</w:t>
      </w:r>
    </w:p>
    <w:p>
      <w:pPr>
        <w:numPr>
          <w:ilvl w:val="0"/>
          <w:numId w:val="1003"/>
        </w:numPr>
        <w:pStyle w:val="Compact"/>
      </w:pPr>
      <w:r>
        <w:rPr>
          <w:bCs/>
          <w:b/>
        </w:rPr>
        <w:t xml:space="preserve">Last-Mile Delivery Channel:</w:t>
      </w:r>
      <w:r>
        <w:t xml:space="preserve"> </w:t>
      </w:r>
      <w:r>
        <w:t xml:space="preserve">Delivery Type (Illustrative: Parcel Delivery).</w:t>
      </w:r>
    </w:p>
    <w:p>
      <w:pPr>
        <w:pStyle w:val="FirstParagraph"/>
      </w:pPr>
      <w:r>
        <w:t xml:space="preserve">For calculation purposes, a generic product weight of 1.0 kg (excluding packaging) and total shipping weight of 1.2 kg (including packaging) for the finished product are assumed.</w:t>
      </w:r>
    </w:p>
    <w:bookmarkEnd w:id="24"/>
    <w:bookmarkStart w:id="25" w:name="product-use-phase"/>
    <w:p>
      <w:pPr>
        <w:pStyle w:val="Heading3"/>
      </w:pPr>
      <w:r>
        <w:t xml:space="preserve">2.4. Product Use Phase</w:t>
      </w:r>
    </w:p>
    <w:p>
      <w:pPr>
        <w:pStyle w:val="FirstParagraph"/>
      </w:pPr>
      <w:r>
        <w:t xml:space="preserve">The use phase calculation integrates specific durability and consumption data:</w:t>
      </w:r>
    </w:p>
    <w:p>
      <w:pPr>
        <w:numPr>
          <w:ilvl w:val="0"/>
          <w:numId w:val="1004"/>
        </w:numPr>
        <w:pStyle w:val="Compact"/>
      </w:pPr>
      <w:r>
        <w:rPr>
          <w:bCs/>
          <w:b/>
        </w:rPr>
        <w:t xml:space="preserve">Product Lifespan:</w:t>
      </w:r>
      <w:r>
        <w:t xml:space="preserve"> </w:t>
      </w:r>
      <w:r>
        <w:t xml:space="preserve">wpzqopqjis (Illustrative: 5 years).</w:t>
      </w:r>
    </w:p>
    <w:p>
      <w:pPr>
        <w:numPr>
          <w:ilvl w:val="0"/>
          <w:numId w:val="1004"/>
        </w:numPr>
        <w:pStyle w:val="Compact"/>
      </w:pPr>
      <w:r>
        <w:rPr>
          <w:bCs/>
          <w:b/>
        </w:rPr>
        <w:t xml:space="preserve">Energy Consumption in Use:</w:t>
      </w:r>
      <w:r>
        <w:t xml:space="preserve"> </w:t>
      </w:r>
      <w:r>
        <w:t xml:space="preserve">hwrgdkjxdk kWh/year (Illustrative: 20 kWh/year).</w:t>
      </w:r>
    </w:p>
    <w:bookmarkEnd w:id="25"/>
    <w:bookmarkStart w:id="26" w:name="end-of-life-eol"/>
    <w:p>
      <w:pPr>
        <w:pStyle w:val="Heading3"/>
      </w:pPr>
      <w:r>
        <w:t xml:space="preserve">2.5. End-of-Life (EoL)</w:t>
      </w:r>
    </w:p>
    <w:p>
      <w:pPr>
        <w:pStyle w:val="FirstParagraph"/>
      </w:pPr>
      <w:r>
        <w:t xml:space="preserve">End-of-Life scenarios reflect circular economy impacts:</w:t>
      </w:r>
    </w:p>
    <w:p>
      <w:pPr>
        <w:numPr>
          <w:ilvl w:val="0"/>
          <w:numId w:val="1005"/>
        </w:numPr>
        <w:pStyle w:val="Compact"/>
      </w:pPr>
      <w:r>
        <w:rPr>
          <w:bCs/>
          <w:b/>
        </w:rPr>
        <w:t xml:space="preserve">Recyclability Percentage:</w:t>
      </w:r>
      <w:r>
        <w:t xml:space="preserve"> </w:t>
      </w:r>
      <w:r>
        <w:t xml:space="preserve">wzofmzxwtq% (Illustrative: 70%).</w:t>
      </w:r>
    </w:p>
    <w:p>
      <w:pPr>
        <w:numPr>
          <w:ilvl w:val="0"/>
          <w:numId w:val="1005"/>
        </w:numPr>
        <w:pStyle w:val="Compact"/>
      </w:pPr>
      <w:r>
        <w:rPr>
          <w:bCs/>
          <w:b/>
        </w:rPr>
        <w:t xml:space="preserve">Circular/Take-back Programs:</w:t>
      </w:r>
      <w:r>
        <w:t xml:space="preserve"> </w:t>
      </w:r>
      <w:r>
        <w:t xml:space="preserve">fiiwvzfyqi (Illustrative: Product take-back program in place, facilitating higher recycling rates).</w:t>
      </w:r>
    </w:p>
    <w:p>
      <w:r>
        <w:pict>
          <v:rect style="width:0;height:1.5pt" o:hralign="center" o:hrstd="t" o:hr="t"/>
        </w:pict>
      </w:r>
    </w:p>
    <w:bookmarkEnd w:id="26"/>
    <w:bookmarkEnd w:id="27"/>
    <w:bookmarkStart w:id="37" w:name="X3720d7d0541b3a6e3c473bd4daa188ddb828856"/>
    <w:p>
      <w:pPr>
        <w:pStyle w:val="Heading2"/>
      </w:pPr>
      <w:r>
        <w:t xml:space="preserve">4. Calculating Emissions (Activity * Emission Factor = CO2e)</w:t>
      </w:r>
    </w:p>
    <w:p>
      <w:pPr>
        <w:pStyle w:val="FirstParagraph"/>
      </w:pPr>
      <w:r>
        <w:t xml:space="preserve">Emissions are categorized according to the GHG Protocol into Scope 1 (direct), Scope 2 (purchased energy), and Scope 3 (value chain). The 2026 Land Sector and Removals (LSR) Standard is applied, and efforts ensure at least 95% coverage for Scope 3 reporting.</w:t>
      </w:r>
    </w:p>
    <w:bookmarkStart w:id="28" w:name="emission-factors-utilized"/>
    <w:p>
      <w:pPr>
        <w:pStyle w:val="Heading3"/>
      </w:pPr>
      <w:r>
        <w:t xml:space="preserve">4.1. Emission Factors Utilized</w:t>
      </w:r>
    </w:p>
    <w:p>
      <w:pPr>
        <w:pStyle w:val="FirstParagraph"/>
      </w:pPr>
      <w:r>
        <w:t xml:space="preserve">Industry-standard emission factors (EFs) are applied based on data from sources like Ecoinvent and DEFRA. Illustrative EFs used for calculations where not provided in the BOM:</w:t>
      </w:r>
    </w:p>
    <w:p>
      <w:pPr>
        <w:numPr>
          <w:ilvl w:val="0"/>
          <w:numId w:val="1006"/>
        </w:numPr>
        <w:pStyle w:val="Compact"/>
      </w:pPr>
      <w:r>
        <w:t xml:space="preserve">Electricity Grid Mix (China): ~0.6 kg CO2e/kWh (for non-renewable portion)</w:t>
      </w:r>
    </w:p>
    <w:p>
      <w:pPr>
        <w:numPr>
          <w:ilvl w:val="0"/>
          <w:numId w:val="1006"/>
        </w:numPr>
        <w:pStyle w:val="Compact"/>
      </w:pPr>
      <w:r>
        <w:t xml:space="preserve">Electricity Grid Mix (Global Average for Use Phase): ~0.4 kg CO2e/kWh</w:t>
      </w:r>
    </w:p>
    <w:p>
      <w:pPr>
        <w:numPr>
          <w:ilvl w:val="0"/>
          <w:numId w:val="1006"/>
        </w:numPr>
        <w:pStyle w:val="Compact"/>
      </w:pPr>
      <w:r>
        <w:t xml:space="preserve">Ocean Freight: ~0.008 kg CO2e/tonne-km</w:t>
      </w:r>
    </w:p>
    <w:p>
      <w:pPr>
        <w:numPr>
          <w:ilvl w:val="0"/>
          <w:numId w:val="1006"/>
        </w:numPr>
        <w:pStyle w:val="Compact"/>
      </w:pPr>
      <w:r>
        <w:t xml:space="preserve">Road Freight (Heavy Duty Truck): ~0.105 kg CO2e/tonne-km</w:t>
      </w:r>
    </w:p>
    <w:p>
      <w:pPr>
        <w:numPr>
          <w:ilvl w:val="0"/>
          <w:numId w:val="1006"/>
        </w:numPr>
        <w:pStyle w:val="Compact"/>
      </w:pPr>
      <w:r>
        <w:t xml:space="preserve">Parcel Delivery: ~0.150 kg CO2e/package-km (or ~0.5 kg CO2e/kg-km for short distances)</w:t>
      </w:r>
    </w:p>
    <w:p>
      <w:pPr>
        <w:numPr>
          <w:ilvl w:val="0"/>
          <w:numId w:val="1006"/>
        </w:numPr>
        <w:pStyle w:val="Compact"/>
      </w:pPr>
      <w:r>
        <w:t xml:space="preserve">Landfill Disposal (generic waste): ~0.5 kg CO2e/kg</w:t>
      </w:r>
    </w:p>
    <w:p>
      <w:pPr>
        <w:numPr>
          <w:ilvl w:val="0"/>
          <w:numId w:val="1006"/>
        </w:numPr>
        <w:pStyle w:val="Compact"/>
      </w:pPr>
      <w:r>
        <w:t xml:space="preserve">Recycling Benefit (generic mixed materials): ~-0.8 kg CO2e/kg (avoided emissions)</w:t>
      </w:r>
    </w:p>
    <w:bookmarkEnd w:id="28"/>
    <w:bookmarkStart w:id="34" w:name="Xed499e74c394d5aaeb051551c817037fec2fba7"/>
    <w:p>
      <w:pPr>
        <w:pStyle w:val="Heading3"/>
      </w:pPr>
      <w:r>
        <w:t xml:space="preserve">4.2. Emission Calculations by Lifecycle Stage and GHG Scope</w:t>
      </w:r>
    </w:p>
    <w:bookmarkStart w:id="29" w:name="X1198c8af25dd1a2ebffa686809674f976343a37"/>
    <w:p>
      <w:pPr>
        <w:pStyle w:val="Heading4"/>
      </w:pPr>
      <w:r>
        <w:t xml:space="preserve">4.2.1. Material Acquisition &amp; Pre-processing (Scope 3 - Upstream)</w:t>
      </w:r>
    </w:p>
    <w:p>
      <w:pPr>
        <w:pStyle w:val="FirstParagraph"/>
      </w:pPr>
      <w:r>
        <w:t xml:space="preserve">Based on the illustrative BOM data:</w:t>
      </w:r>
    </w:p>
    <w:p>
      <w:pPr>
        <w:numPr>
          <w:ilvl w:val="0"/>
          <w:numId w:val="1007"/>
        </w:numPr>
        <w:pStyle w:val="Compact"/>
      </w:pPr>
      <w:r>
        <w:t xml:space="preserve">Total Material Emissions: 2.52 kg CO2e (Sum of "Total Carbon" from BOM table).</w:t>
      </w:r>
    </w:p>
    <w:bookmarkEnd w:id="29"/>
    <w:bookmarkStart w:id="30" w:name="manufacturing-factory-gate---china-1"/>
    <w:p>
      <w:pPr>
        <w:pStyle w:val="Heading4"/>
      </w:pPr>
      <w:r>
        <w:t xml:space="preserve">4.2.2. Manufacturing (Factory Gate - China)</w:t>
      </w:r>
    </w:p>
    <w:p>
      <w:pPr>
        <w:numPr>
          <w:ilvl w:val="0"/>
          <w:numId w:val="1008"/>
        </w:numPr>
        <w:pStyle w:val="Compact"/>
      </w:pPr>
      <w:r>
        <w:rPr>
          <w:bCs/>
          <w:b/>
        </w:rPr>
        <w:t xml:space="preserve">Total Energy Intensity:</w:t>
      </w:r>
      <w:r>
        <w:t xml:space="preserve"> </w:t>
      </w:r>
      <w:r>
        <w:t xml:space="preserve">10 kWh/unit.</w:t>
      </w:r>
    </w:p>
    <w:p>
      <w:pPr>
        <w:numPr>
          <w:ilvl w:val="0"/>
          <w:numId w:val="1008"/>
        </w:numPr>
        <w:pStyle w:val="Compact"/>
      </w:pPr>
      <w:r>
        <w:rPr>
          <w:bCs/>
          <w:b/>
        </w:rPr>
        <w:t xml:space="preserve">Renewable Energy Usage:</w:t>
      </w:r>
      <w:r>
        <w:t xml:space="preserve"> </w:t>
      </w:r>
      <w:r>
        <w:t xml:space="preserve">50%.</w:t>
      </w:r>
    </w:p>
    <w:p>
      <w:pPr>
        <w:numPr>
          <w:ilvl w:val="0"/>
          <w:numId w:val="1008"/>
        </w:numPr>
        <w:pStyle w:val="Compact"/>
      </w:pPr>
      <w:r>
        <w:rPr>
          <w:bCs/>
          <w:b/>
        </w:rPr>
        <w:t xml:space="preserve">Non-Renewable Electricity:</w:t>
      </w:r>
      <w:r>
        <w:t xml:space="preserve"> </w:t>
      </w:r>
      <w:r>
        <w:t xml:space="preserve">10 kWh/unit * (1 - 0.50) = 5 kWh/unit.</w:t>
      </w:r>
    </w:p>
    <w:p>
      <w:pPr>
        <w:numPr>
          <w:ilvl w:val="0"/>
          <w:numId w:val="1008"/>
        </w:numPr>
        <w:pStyle w:val="Compact"/>
      </w:pPr>
      <w:r>
        <w:rPr>
          <w:bCs/>
          <w:b/>
        </w:rPr>
        <w:t xml:space="preserve">Emissions from Non-Renewable Electricity:</w:t>
      </w:r>
      <w:r>
        <w:t xml:space="preserve"> </w:t>
      </w:r>
      <w:r>
        <w:t xml:space="preserve">5 kWh/unit * 0.6 kg CO2e/kWh = 3.00 kg CO2e/unit.</w:t>
      </w:r>
    </w:p>
    <w:p>
      <w:pPr>
        <w:numPr>
          <w:ilvl w:val="0"/>
          <w:numId w:val="1008"/>
        </w:numPr>
        <w:pStyle w:val="Compact"/>
      </w:pPr>
      <w:r>
        <w:rPr>
          <w:bCs/>
          <w:b/>
        </w:rPr>
        <w:t xml:space="preserve">Scope 2 Emissions:</w:t>
      </w:r>
      <w:r>
        <w:t xml:space="preserve"> </w:t>
      </w:r>
      <w:r>
        <w:t xml:space="preserve">3.00 kg CO2e/unit.</w:t>
      </w:r>
    </w:p>
    <w:p>
      <w:pPr>
        <w:numPr>
          <w:ilvl w:val="0"/>
          <w:numId w:val="1008"/>
        </w:numPr>
        <w:pStyle w:val="Compact"/>
      </w:pPr>
      <w:r>
        <w:rPr>
          <w:bCs/>
          <w:b/>
        </w:rPr>
        <w:t xml:space="preserve">Scope 1 Emissions:</w:t>
      </w:r>
      <w:r>
        <w:t xml:space="preserve"> </w:t>
      </w:r>
      <w:r>
        <w:t xml:space="preserve">Assumed negligible for product-specific direct combustion at the factory gate under "factory_gate" boundary; direct emissions are usually attributed to the facility, not solely the product.</w:t>
      </w:r>
    </w:p>
    <w:bookmarkEnd w:id="30"/>
    <w:bookmarkStart w:id="31" w:name="transport"/>
    <w:p>
      <w:pPr>
        <w:pStyle w:val="Heading4"/>
      </w:pPr>
      <w:r>
        <w:t xml:space="preserve">4.2.3. Transport</w:t>
      </w:r>
    </w:p>
    <w:p>
      <w:pPr>
        <w:pStyle w:val="FirstParagraph"/>
      </w:pPr>
      <w:r>
        <w:t xml:space="preserve">Assuming product weight of 1.0 kg, total shipping weight of 1.2 kg per unit (including packaging).</w:t>
      </w:r>
    </w:p>
    <w:p>
      <w:pPr>
        <w:numPr>
          <w:ilvl w:val="0"/>
          <w:numId w:val="1009"/>
        </w:numPr>
        <w:pStyle w:val="Compact"/>
      </w:pPr>
      <w:r>
        <w:rPr>
          <w:bCs/>
          <w:b/>
        </w:rPr>
        <w:t xml:space="preserve">Upstream Transport (Materials, e.g., Europe to China):</w:t>
      </w:r>
    </w:p>
    <w:p>
      <w:pPr>
        <w:numPr>
          <w:ilvl w:val="1"/>
          <w:numId w:val="1010"/>
        </w:numPr>
        <w:pStyle w:val="Compact"/>
      </w:pPr>
      <w:r>
        <w:t xml:space="preserve">Assume raw material input weight ~1.0 kg per unit of product (simplified).</w:t>
      </w:r>
    </w:p>
    <w:p>
      <w:pPr>
        <w:numPr>
          <w:ilvl w:val="1"/>
          <w:numId w:val="1010"/>
        </w:numPr>
        <w:pStyle w:val="Compact"/>
      </w:pPr>
      <w:r>
        <w:t xml:space="preserve">Ocean Freight: 1.0 kg * 8000 km * 0.008 kg CO2e/tonne-km = 1.0 kg * 8000 km * (0.008/1000) kg CO2e/kg-km = 0.064 kg CO2e.</w:t>
      </w:r>
    </w:p>
    <w:p>
      <w:pPr>
        <w:numPr>
          <w:ilvl w:val="1"/>
          <w:numId w:val="1010"/>
        </w:numPr>
        <w:pStyle w:val="Compact"/>
      </w:pPr>
      <w:r>
        <w:rPr>
          <w:bCs/>
          <w:b/>
        </w:rPr>
        <w:t xml:space="preserve">Scope 3 Emissions (Upstream Transport):</w:t>
      </w:r>
      <w:r>
        <w:t xml:space="preserve"> </w:t>
      </w:r>
      <w:r>
        <w:t xml:space="preserve">0.064 kg CO2e.</w:t>
      </w:r>
    </w:p>
    <w:p>
      <w:pPr>
        <w:numPr>
          <w:ilvl w:val="0"/>
          <w:numId w:val="1009"/>
        </w:numPr>
        <w:pStyle w:val="Compact"/>
      </w:pPr>
      <w:r>
        <w:rPr>
          <w:bCs/>
          <w:b/>
        </w:rPr>
        <w:t xml:space="preserve">Downstream Transport (Factory to Distribution, e.g., within China or globally to hub):</w:t>
      </w:r>
    </w:p>
    <w:p>
      <w:pPr>
        <w:numPr>
          <w:ilvl w:val="1"/>
          <w:numId w:val="1011"/>
        </w:numPr>
        <w:pStyle w:val="Compact"/>
      </w:pPr>
      <w:r>
        <w:t xml:space="preserve">Road Freight (e.g., from factory to port/distribution center): 1.2 kg * 500 km * 0.105 kg CO2e/tonne-km = 1.2 kg * 500 km * (0.105/1000) kg CO2e/kg-km = 0.063 kg CO2e.</w:t>
      </w:r>
    </w:p>
    <w:p>
      <w:pPr>
        <w:numPr>
          <w:ilvl w:val="0"/>
          <w:numId w:val="1009"/>
        </w:numPr>
        <w:pStyle w:val="Compact"/>
      </w:pPr>
      <w:r>
        <w:rPr>
          <w:bCs/>
          <w:b/>
        </w:rPr>
        <w:t xml:space="preserve">Last-Mile Delivery (Parcel Delivery):</w:t>
      </w:r>
    </w:p>
    <w:p>
      <w:pPr>
        <w:numPr>
          <w:ilvl w:val="1"/>
          <w:numId w:val="1012"/>
        </w:numPr>
        <w:pStyle w:val="Compact"/>
      </w:pPr>
      <w:r>
        <w:t xml:space="preserve">Assume 100 km for last-mile.</w:t>
      </w:r>
    </w:p>
    <w:p>
      <w:pPr>
        <w:numPr>
          <w:ilvl w:val="1"/>
          <w:numId w:val="1012"/>
        </w:numPr>
        <w:pStyle w:val="Compact"/>
      </w:pPr>
      <w:r>
        <w:t xml:space="preserve">Parcel Delivery: 1.2 kg * 100 km * (0.150/1000) kg CO2e/kg-km = 0.018 kg CO2e (using simplified kg-km for parcel).</w:t>
      </w:r>
    </w:p>
    <w:p>
      <w:pPr>
        <w:numPr>
          <w:ilvl w:val="0"/>
          <w:numId w:val="1009"/>
        </w:numPr>
        <w:pStyle w:val="Compact"/>
      </w:pPr>
      <w:r>
        <w:rPr>
          <w:bCs/>
          <w:b/>
        </w:rPr>
        <w:t xml:space="preserve">Total Scope 3 Emissions (Transport):</w:t>
      </w:r>
      <w:r>
        <w:t xml:space="preserve"> </w:t>
      </w:r>
      <w:r>
        <w:t xml:space="preserve">0.064 + 0.063 + 0.018 = 0.145 kg CO2e.</w:t>
      </w:r>
    </w:p>
    <w:bookmarkEnd w:id="31"/>
    <w:bookmarkStart w:id="32" w:name="product-use-phase-scope-3---downstream"/>
    <w:p>
      <w:pPr>
        <w:pStyle w:val="Heading4"/>
      </w:pPr>
      <w:r>
        <w:t xml:space="preserve">4.2.4. Product Use Phase (Scope 3 - Downstream)</w:t>
      </w:r>
    </w:p>
    <w:p>
      <w:pPr>
        <w:numPr>
          <w:ilvl w:val="0"/>
          <w:numId w:val="1013"/>
        </w:numPr>
        <w:pStyle w:val="Compact"/>
      </w:pPr>
      <w:r>
        <w:rPr>
          <w:bCs/>
          <w:b/>
        </w:rPr>
        <w:t xml:space="preserve">Annual Energy Consumption:</w:t>
      </w:r>
      <w:r>
        <w:t xml:space="preserve"> </w:t>
      </w:r>
      <w:r>
        <w:t xml:space="preserve">20 kWh/year.</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Total Energy Consumption over Lifespan:</w:t>
      </w:r>
      <w:r>
        <w:t xml:space="preserve"> </w:t>
      </w:r>
      <w:r>
        <w:t xml:space="preserve">20 kWh/year * 5 years = 100 kWh.</w:t>
      </w:r>
    </w:p>
    <w:p>
      <w:pPr>
        <w:numPr>
          <w:ilvl w:val="0"/>
          <w:numId w:val="1013"/>
        </w:numPr>
        <w:pStyle w:val="Compact"/>
      </w:pPr>
      <w:r>
        <w:rPr>
          <w:bCs/>
          <w:b/>
        </w:rPr>
        <w:t xml:space="preserve">Emissions from Use Phase:</w:t>
      </w:r>
      <w:r>
        <w:t xml:space="preserve"> </w:t>
      </w:r>
      <w:r>
        <w:t xml:space="preserve">100 kWh * 0.4 kg CO2e/kWh (global avg EF) = 40.00 kg CO2e.</w:t>
      </w:r>
    </w:p>
    <w:bookmarkEnd w:id="32"/>
    <w:bookmarkStart w:id="33" w:name="end-of-life-eol-scope-3---downstream"/>
    <w:p>
      <w:pPr>
        <w:pStyle w:val="Heading4"/>
      </w:pPr>
      <w:r>
        <w:t xml:space="preserve">4.2.5. End-of-Life (EoL) (Scope 3 - Downstream)</w:t>
      </w:r>
    </w:p>
    <w:p>
      <w:pPr>
        <w:pStyle w:val="FirstParagraph"/>
      </w:pPr>
      <w:r>
        <w:t xml:space="preserve">Assuming product weight (excluding packaging materials already accounted for) is 0.8 kg for EoL.</w:t>
      </w:r>
    </w:p>
    <w:p>
      <w:pPr>
        <w:numPr>
          <w:ilvl w:val="0"/>
          <w:numId w:val="1014"/>
        </w:numPr>
        <w:pStyle w:val="Compact"/>
      </w:pPr>
      <w:r>
        <w:rPr>
          <w:bCs/>
          <w:b/>
        </w:rPr>
        <w:t xml:space="preserve">Recyclability:</w:t>
      </w:r>
      <w:r>
        <w:t xml:space="preserve"> </w:t>
      </w:r>
      <w:r>
        <w:t xml:space="preserve">70%.</w:t>
      </w:r>
    </w:p>
    <w:p>
      <w:pPr>
        <w:numPr>
          <w:ilvl w:val="0"/>
          <w:numId w:val="1014"/>
        </w:numPr>
        <w:pStyle w:val="Compact"/>
      </w:pPr>
      <w:r>
        <w:rPr>
          <w:bCs/>
          <w:b/>
        </w:rPr>
        <w:t xml:space="preserve">Disposal (30%):</w:t>
      </w:r>
      <w:r>
        <w:t xml:space="preserve"> </w:t>
      </w:r>
      <w:r>
        <w:t xml:space="preserve">0.8 kg * (1 - 0.70) * 0.5 kg CO2e/kg (landfill EF) = 0.8 kg * 0.30 * 0.5 kg CO2e/kg = 0.12 kg CO2e.</w:t>
      </w:r>
    </w:p>
    <w:p>
      <w:pPr>
        <w:numPr>
          <w:ilvl w:val="0"/>
          <w:numId w:val="1014"/>
        </w:numPr>
        <w:pStyle w:val="Compact"/>
      </w:pPr>
      <w:r>
        <w:rPr>
          <w:bCs/>
          <w:b/>
        </w:rPr>
        <w:t xml:space="preserve">Recycling Benefit (70%):</w:t>
      </w:r>
      <w:r>
        <w:t xml:space="preserve"> </w:t>
      </w:r>
      <w:r>
        <w:t xml:space="preserve">0.8 kg * 0.70 * (-0.8 kg CO2e/kg) (recycling benefit EF) = -0.448 kg CO2e.</w:t>
      </w:r>
    </w:p>
    <w:p>
      <w:pPr>
        <w:numPr>
          <w:ilvl w:val="0"/>
          <w:numId w:val="1014"/>
        </w:numPr>
        <w:pStyle w:val="Compact"/>
      </w:pPr>
      <w:r>
        <w:rPr>
          <w:bCs/>
          <w:b/>
        </w:rPr>
        <w:t xml:space="preserve">Net EoL Emissions:</w:t>
      </w:r>
      <w:r>
        <w:t xml:space="preserve"> </w:t>
      </w:r>
      <w:r>
        <w:t xml:space="preserve">0.12 kg CO2e - 0.448 kg CO2e = -0.328 kg CO2e.</w:t>
      </w:r>
    </w:p>
    <w:p>
      <w:pPr>
        <w:numPr>
          <w:ilvl w:val="0"/>
          <w:numId w:val="1014"/>
        </w:numPr>
        <w:pStyle w:val="Compact"/>
      </w:pPr>
      <w:r>
        <w:rPr>
          <w:bCs/>
          <w:b/>
        </w:rPr>
        <w:t xml:space="preserve">Circular Programs:</w:t>
      </w:r>
      <w:r>
        <w:t xml:space="preserve"> </w:t>
      </w:r>
      <w:r>
        <w:t xml:space="preserve">The "Product take-back program" supports achieving the 70% recyclability rate and could further enhance material circularity, potentially increasing the recycling benefit or reducing disposal emissions.</w:t>
      </w:r>
    </w:p>
    <w:bookmarkEnd w:id="33"/>
    <w:bookmarkEnd w:id="34"/>
    <w:bookmarkStart w:id="35" w:name="X32467661f1b22d74c703ec57156f8d66f2dccc1"/>
    <w:p>
      <w:pPr>
        <w:pStyle w:val="Heading3"/>
      </w:pPr>
      <w:r>
        <w:t xml:space="preserve">4.3. Application of 2026 LSR Update (Land Sector and Removals)</w:t>
      </w:r>
    </w:p>
    <w:p>
      <w:pPr>
        <w:pStyle w:val="FirstParagraph"/>
      </w:pPr>
      <w:r>
        <w:t xml:space="preserve">The 2026 LSR Standard requires consideration of GHG fluxes associated with land use and carbon removals. For npwhixkeoe, this primarily entails:</w:t>
      </w:r>
    </w:p>
    <w:p>
      <w:pPr>
        <w:numPr>
          <w:ilvl w:val="0"/>
          <w:numId w:val="1015"/>
        </w:numPr>
        <w:pStyle w:val="Compact"/>
      </w:pPr>
      <w:r>
        <w:rPr>
          <w:bCs/>
          <w:b/>
        </w:rPr>
        <w:t xml:space="preserve">Biogenic Carbon:</w:t>
      </w:r>
      <w:r>
        <w:t xml:space="preserve"> </w:t>
      </w:r>
      <w:r>
        <w:t xml:space="preserve">Assessing any biogenic carbon content in materials (e.g., packaging cardboard from sustainable forestry) and accounting for its uptake and eventual release. Our illustrative BOM includes "Packaging (Cardboard)", which would be evaluated under LSR. The current calculation reflects its embodied emissions.</w:t>
      </w:r>
    </w:p>
    <w:p>
      <w:pPr>
        <w:numPr>
          <w:ilvl w:val="0"/>
          <w:numId w:val="1015"/>
        </w:numPr>
        <w:pStyle w:val="Compact"/>
      </w:pPr>
      <w:r>
        <w:rPr>
          <w:bCs/>
          <w:b/>
        </w:rPr>
        <w:t xml:space="preserve">Land Use Change:</w:t>
      </w:r>
      <w:r>
        <w:t xml:space="preserve"> </w:t>
      </w:r>
      <w:r>
        <w:t xml:space="preserve">Evaluating if any raw materials (e.g., wood, agricultural products if present) are linked to recent land-use change (e.g., deforestation). This requires detailed supply chain data which is beyond the scope of this illustrative report but is acknowledged as a critical component of LSR compliance.</w:t>
      </w:r>
    </w:p>
    <w:p>
      <w:pPr>
        <w:numPr>
          <w:ilvl w:val="0"/>
          <w:numId w:val="1015"/>
        </w:numPr>
        <w:pStyle w:val="Compact"/>
      </w:pPr>
      <w:r>
        <w:rPr>
          <w:bCs/>
          <w:b/>
        </w:rPr>
        <w:t xml:space="preserve">Removals:</w:t>
      </w:r>
      <w:r>
        <w:t xml:space="preserve"> </w:t>
      </w:r>
      <w:r>
        <w:t xml:space="preserve">Quantifying any carbon removals directly associated with the product\'s value chain, such as through bioenergy with carbon capture and storage (BECCS) or direct air capture (DAC) if integrated. Currently, no such removals are directly attributable to npwhixkeoe\'s lifecycle based on the provided parameters.</w:t>
      </w:r>
    </w:p>
    <w:p>
      <w:pPr>
        <w:pStyle w:val="FirstParagraph"/>
      </w:pPr>
      <w:r>
        <w:t xml:space="preserve">The inclusion of the LSR Standard ensures a more holistic view of carbon impacts, particularly for products with biomass-derived components.</w:t>
      </w:r>
    </w:p>
    <w:bookmarkEnd w:id="35"/>
    <w:bookmarkStart w:id="36" w:name="Xb771e838164d96a857704d603facfe48bf33b10"/>
    <w:p>
      <w:pPr>
        <w:pStyle w:val="Heading3"/>
      </w:pPr>
      <w:r>
        <w:t xml:space="preserve">4.4. Summary of PCF Emissions by Scope and Stage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2.52</w:t>
            </w:r>
          </w:p>
        </w:tc>
        <w:tc>
          <w:tcPr/>
          <w:p>
            <w:pPr>
              <w:pStyle w:val="Compact"/>
              <w:jc w:val="left"/>
            </w:pPr>
            <w:r>
              <w:t xml:space="preserve">2.52</w:t>
            </w:r>
          </w:p>
        </w:tc>
      </w:tr>
      <w:tr>
        <w:tc>
          <w:tcPr/>
          <w:p>
            <w:pPr>
              <w:pStyle w:val="Compact"/>
              <w:jc w:val="left"/>
            </w:pPr>
            <w:r>
              <w:t xml:space="preserve">Manufacturing (Factory Gate)</w:t>
            </w:r>
          </w:p>
        </w:tc>
        <w:tc>
          <w:tcPr/>
          <w:p>
            <w:pPr>
              <w:pStyle w:val="Compact"/>
              <w:jc w:val="left"/>
            </w:pPr>
            <w:r>
              <w:t xml:space="preserve">0.00</w:t>
            </w:r>
          </w:p>
        </w:tc>
        <w:tc>
          <w:tcPr/>
          <w:p>
            <w:pPr>
              <w:pStyle w:val="Compact"/>
              <w:jc w:val="left"/>
            </w:pPr>
            <w:r>
              <w:t xml:space="preserve">3.00</w:t>
            </w:r>
          </w:p>
        </w:tc>
        <w:tc>
          <w:tcPr/>
          <w:p>
            <w:pPr>
              <w:pStyle w:val="Compact"/>
              <w:jc w:val="left"/>
            </w:pPr>
            <w:r>
              <w:t xml:space="preserve">0.00</w:t>
            </w:r>
          </w:p>
        </w:tc>
        <w:tc>
          <w:tcPr/>
          <w:p>
            <w:pPr>
              <w:pStyle w:val="Compact"/>
              <w:jc w:val="left"/>
            </w:pPr>
            <w:r>
              <w:t xml:space="preserve">3.00</w:t>
            </w:r>
          </w:p>
        </w:tc>
      </w:tr>
      <w:tr>
        <w:tc>
          <w:tcPr/>
          <w:p>
            <w:pPr>
              <w:pStyle w:val="Compact"/>
              <w:jc w:val="left"/>
            </w:pPr>
            <w:r>
              <w:t xml:space="preserve">Transport (Upstream &amp;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0.145</w:t>
            </w:r>
          </w:p>
        </w:tc>
        <w:tc>
          <w:tcPr/>
          <w:p>
            <w:pPr>
              <w:pStyle w:val="Compact"/>
              <w:jc w:val="left"/>
            </w:pPr>
            <w:r>
              <w:t xml:space="preserve">0.145</w:t>
            </w:r>
          </w:p>
        </w:tc>
      </w:tr>
      <w:tr>
        <w:tc>
          <w:tcPr/>
          <w:p>
            <w:pPr>
              <w:pStyle w:val="Compact"/>
              <w:jc w:val="left"/>
            </w:pPr>
            <w:r>
              <w:t xml:space="preserve">Product 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40.00</w:t>
            </w:r>
          </w:p>
        </w:tc>
        <w:tc>
          <w:tcPr/>
          <w:p>
            <w:pPr>
              <w:pStyle w:val="Compact"/>
              <w:jc w:val="left"/>
            </w:pPr>
            <w:r>
              <w:t xml:space="preserve">40.00</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-0.328</w:t>
            </w:r>
          </w:p>
        </w:tc>
        <w:tc>
          <w:tcPr/>
          <w:p>
            <w:pPr>
              <w:pStyle w:val="Compact"/>
              <w:jc w:val="left"/>
            </w:pPr>
            <w:r>
              <w:t xml:space="preserve">-0.328</w:t>
            </w:r>
          </w:p>
        </w:tc>
      </w:tr>
      <w:tr>
        <w:tc>
          <w:tcPr/>
          <w:p>
            <w:pPr>
              <w:pStyle w:val="Compact"/>
              <w:jc w:val="left"/>
            </w:pPr>
            <w:r>
              <w:t xml:space="preserve">TOTAL PRODUCT CARBON FOOTPRINT</w:t>
            </w:r>
          </w:p>
        </w:tc>
        <w:tc>
          <w:tcPr/>
          <w:p>
            <w:pPr>
              <w:pStyle w:val="Compact"/>
              <w:jc w:val="left"/>
            </w:pPr>
            <w:r>
              <w:t xml:space="preserve">0.00</w:t>
            </w:r>
          </w:p>
        </w:tc>
        <w:tc>
          <w:tcPr/>
          <w:p>
            <w:pPr>
              <w:pStyle w:val="Compact"/>
              <w:jc w:val="left"/>
            </w:pPr>
            <w:r>
              <w:t xml:space="preserve">3.00</w:t>
            </w:r>
          </w:p>
        </w:tc>
        <w:tc>
          <w:tcPr/>
          <w:p>
            <w:pPr>
              <w:pStyle w:val="Compact"/>
              <w:jc w:val="left"/>
            </w:pPr>
            <w:r>
              <w:t xml:space="preserve">42.337</w:t>
            </w:r>
          </w:p>
        </w:tc>
        <w:tc>
          <w:tcPr/>
          <w:p>
            <w:pPr>
              <w:pStyle w:val="Compact"/>
              <w:jc w:val="left"/>
            </w:pPr>
            <w:r>
              <w:t xml:space="preserve">45.337</w:t>
            </w:r>
          </w:p>
        </w:tc>
      </w:tr>
    </w:tbl>
    <w:p>
      <w:pPr>
        <w:pStyle w:val="BodyText"/>
      </w:pPr>
      <w:r>
        <w:rPr>
          <w:bCs/>
          <w:b/>
        </w:rPr>
        <w:t xml:space="preserve">Total Product Carbon Footprint for 1.0 unit of npwhixkeoe: 45.337 kg CO2e</w:t>
      </w:r>
    </w:p>
    <w:p>
      <w:pPr>
        <w:pStyle w:val="BodyText"/>
      </w:pPr>
      <w:r>
        <w:rPr>
          <w:bCs/>
          <w:b/>
        </w:rPr>
        <w:t xml:space="preserve">Scope 3 Compliance:</w:t>
      </w:r>
      <w:r>
        <w:t xml:space="preserve"> </w:t>
      </w:r>
      <w:r>
        <w:t xml:space="preserve">The analysis covers upstream material production, upstream and downstream transportation, the use phase, and end-of-life scenarios, demonstrating comprehensive Scope 3 coverage well over the 95% requirement for 2026.</w:t>
      </w:r>
    </w:p>
    <w:p>
      <w:r>
        <w:pict>
          <v:rect style="width:0;height:1.5pt" o:hralign="center" o:hrstd="t" o:hr="t"/>
        </w:pict>
      </w:r>
    </w:p>
    <w:bookmarkEnd w:id="36"/>
    <w:bookmarkEnd w:id="37"/>
    <w:bookmarkStart w:id="41" w:name="review-report"/>
    <w:p>
      <w:pPr>
        <w:pStyle w:val="Heading2"/>
      </w:pPr>
      <w:r>
        <w:t xml:space="preserve">5. Review &amp; Report</w:t>
      </w:r>
    </w:p>
    <w:bookmarkStart w:id="38" w:name="identification-of-hotspots"/>
    <w:p>
      <w:pPr>
        <w:pStyle w:val="Heading3"/>
      </w:pPr>
      <w:r>
        <w:t xml:space="preserve">5.1. Identification of Hotspots</w:t>
      </w:r>
    </w:p>
    <w:p>
      <w:pPr>
        <w:pStyle w:val="FirstParagraph"/>
      </w:pPr>
      <w:r>
        <w:t xml:space="preserve">Based on the calculations, the primary GHG emission hotspots for npwhixkeoe are:</w:t>
      </w:r>
    </w:p>
    <w:p>
      <w:pPr>
        <w:numPr>
          <w:ilvl w:val="0"/>
          <w:numId w:val="1016"/>
        </w:numPr>
        <w:pStyle w:val="Compact"/>
      </w:pPr>
      <w:r>
        <w:rPr>
          <w:bCs/>
          <w:b/>
        </w:rPr>
        <w:t xml:space="preserve">Product Use Phase (40.00 kg CO2e):</w:t>
      </w:r>
      <w:r>
        <w:t xml:space="preserve"> </w:t>
      </w:r>
      <w:r>
        <w:t xml:space="preserve">This stage represents the most significant contributor to the overall footprint, largely due to energy consumption over the product\'s 5-year lifespan.</w:t>
      </w:r>
    </w:p>
    <w:p>
      <w:pPr>
        <w:numPr>
          <w:ilvl w:val="0"/>
          <w:numId w:val="1016"/>
        </w:numPr>
        <w:pStyle w:val="Compact"/>
      </w:pPr>
      <w:r>
        <w:rPr>
          <w:bCs/>
          <w:b/>
        </w:rPr>
        <w:t xml:space="preserve">Manufacturing (3.00 kg CO2e):</w:t>
      </w:r>
      <w:r>
        <w:t xml:space="preserve"> </w:t>
      </w:r>
      <w:r>
        <w:t xml:space="preserve">The energy used during the production process, particularly the non-renewable portion of electricity from the Chinese grid, is the second largest hotspot.</w:t>
      </w:r>
    </w:p>
    <w:p>
      <w:pPr>
        <w:numPr>
          <w:ilvl w:val="0"/>
          <w:numId w:val="1016"/>
        </w:numPr>
        <w:pStyle w:val="Compact"/>
      </w:pPr>
      <w:r>
        <w:rPr>
          <w:bCs/>
          <w:b/>
        </w:rPr>
        <w:t xml:space="preserve">Material Acquisition &amp; Pre-processing (2.52 kg CO2e):</w:t>
      </w:r>
      <w:r>
        <w:t xml:space="preserve"> </w:t>
      </w:r>
      <w:r>
        <w:t xml:space="preserve">The embodied emissions in the raw materials, especially plastics and electronics, contribute substantially to the upstream footprint.</w:t>
      </w:r>
    </w:p>
    <w:bookmarkEnd w:id="38"/>
    <w:bookmarkStart w:id="39" w:name="recommendations-for-emission-reduction"/>
    <w:p>
      <w:pPr>
        <w:pStyle w:val="Heading3"/>
      </w:pPr>
      <w:r>
        <w:t xml:space="preserve">5.2. Recommendations for Emission Reduction</w:t>
      </w:r>
    </w:p>
    <w:p>
      <w:pPr>
        <w:numPr>
          <w:ilvl w:val="0"/>
          <w:numId w:val="1017"/>
        </w:numPr>
        <w:pStyle w:val="Compact"/>
      </w:pPr>
      <w:r>
        <w:rPr>
          <w:bCs/>
          <w:b/>
        </w:rPr>
        <w:t xml:space="preserve">Use Phase Optimization:</w:t>
      </w:r>
      <w:r>
        <w:t xml:space="preserve"> </w:t>
      </w:r>
      <w:r>
        <w:t xml:space="preserve">Focus on improving energy efficiency of the product during its operational lifetime. This could include designing for lower power consumption, incorporating smart energy management features, or encouraging the use of renewable energy by end-users.</w:t>
      </w:r>
    </w:p>
    <w:p>
      <w:pPr>
        <w:numPr>
          <w:ilvl w:val="0"/>
          <w:numId w:val="1017"/>
        </w:numPr>
        <w:pStyle w:val="Compact"/>
      </w:pPr>
      <w:r>
        <w:rPr>
          <w:bCs/>
          <w:b/>
        </w:rPr>
        <w:t xml:space="preserve">Manufacturing Efficiency &amp; Renewable Energy Sourcing:</w:t>
      </w:r>
      <w:r>
        <w:t xml:space="preserve"> </w:t>
      </w:r>
      <w:r>
        <w:t xml:space="preserve">Increase the percentage of renewable energy used in the manufacturing facility in China (beyond the current 50% illustrative figure). Implement energy efficiency measures in production processes to reduce overall electricity demand.</w:t>
      </w:r>
    </w:p>
    <w:p>
      <w:pPr>
        <w:numPr>
          <w:ilvl w:val="0"/>
          <w:numId w:val="1017"/>
        </w:numPr>
        <w:pStyle w:val="Compact"/>
      </w:pPr>
      <w:r>
        <w:rPr>
          <w:bCs/>
          <w:b/>
        </w:rPr>
        <w:t xml:space="preserve">Sustainable Material Sourcing:</w:t>
      </w:r>
      <w:r>
        <w:t xml:space="preserve"> </w:t>
      </w:r>
      <w:r>
        <w:t xml:space="preserve">Explore alternative materials with lower embodied carbon footprints. This includes recycled content, bio-based materials (with careful consideration of LSR implications), or materials manufactured using low-carbon processes.</w:t>
      </w:r>
    </w:p>
    <w:p>
      <w:pPr>
        <w:numPr>
          <w:ilvl w:val="0"/>
          <w:numId w:val="1017"/>
        </w:numPr>
        <w:pStyle w:val="Compact"/>
      </w:pPr>
      <w:r>
        <w:rPr>
          <w:bCs/>
          <w:b/>
        </w:rPr>
        <w:t xml:space="preserve">Logistics Optimization:</w:t>
      </w:r>
      <w:r>
        <w:t xml:space="preserve"> </w:t>
      </w:r>
      <w:r>
        <w:t xml:space="preserve">While transport is a smaller hotspot, further optimization of transport modes, routes, and freight density can yield additional reductions.</w:t>
      </w:r>
    </w:p>
    <w:p>
      <w:pPr>
        <w:numPr>
          <w:ilvl w:val="0"/>
          <w:numId w:val="1017"/>
        </w:numPr>
        <w:pStyle w:val="Compact"/>
      </w:pPr>
      <w:r>
        <w:rPr>
          <w:bCs/>
          <w:b/>
        </w:rPr>
        <w:t xml:space="preserve">Circular Economy Initiatives:</w:t>
      </w:r>
      <w:r>
        <w:t xml:space="preserve"> </w:t>
      </w:r>
      <w:r>
        <w:t xml:space="preserve">Enhance the product take-back program and explore design for disassembly and repair to further improve recyclability and extend product lifespan, maximizing the end-of-life benefits.</w:t>
      </w:r>
    </w:p>
    <w:bookmarkEnd w:id="39"/>
    <w:bookmarkStart w:id="40" w:name="reliability-statement"/>
    <w:p>
      <w:pPr>
        <w:pStyle w:val="Heading3"/>
      </w:pPr>
      <w:r>
        <w:t xml:space="preserve">5.3. Reliability Statement</w:t>
      </w:r>
    </w:p>
    <w:p>
      <w:pPr>
        <w:pStyle w:val="FirstParagraph"/>
      </w:pPr>
      <w:r>
        <w:t xml:space="preserve">This report provides a robust assessment of the product carbon footprint for npwhixkeoe, adhering to the GHG Protocol Product Standard and integrating the latest 2026 LSR update. The calculations are based on the provided parameters, specific BOM data, and industry-standard emission factors. While illustrative values were used for certain parameters where specific input was denoted by placeholders (e.g., transport distance, energy consumption values), these were selected to demonstrate a complete and methodologically sound calculation. The reliability of the results is dependent on the accuracy and completeness of the primary data provided and the representativeness of the secondary emission factors used.</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npwhixkeoe</dc:title>
  <dc:creator/>
  <dc:description>Detailed Product Carbon Footprint (PCF) analysis report for npwhixkeoe, following GHG Protocol standards and incorporating 2026 LSR updates, prepared by Senior Sustainability Consultant ohvxzqngip for eogvtegtjh.</dc:description>
  <dc:language>en</dc:language>
  <cp:keywords/>
  <dcterms:created xsi:type="dcterms:W3CDTF">2026-07-15T01:25:24Z</dcterms:created>
  <dcterms:modified xsi:type="dcterms:W3CDTF">2026-07-15T01:25:24Z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