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nphruldtzg</w:t>
      </w:r>
    </w:p>
    <w:p>
      <w:pPr>
        <w:pStyle w:val="FirstParagraph"/>
      </w:pPr>
      <w:r>
        <w:t xml:space="preserve">carboncalcpcf.com</w:t>
      </w:r>
    </w:p>
    <w:bookmarkStart w:id="21" w:name="product-carbon-footprint-analysis-report"/>
    <w:p>
      <w:pPr>
        <w:pStyle w:val="Heading1"/>
      </w:pPr>
      <w:r>
        <w:t xml:space="preserve">Product Carbon Footprint Analysis Report</w:t>
      </w:r>
    </w:p>
    <w:bookmarkStart w:id="20" w:name="product-nphruldtzg"/>
    <w:p>
      <w:pPr>
        <w:pStyle w:val="Heading2"/>
      </w:pPr>
      <w:r>
        <w:t xml:space="preserve">Product: nphruldtzg</w:t>
      </w:r>
    </w:p>
    <w:p>
      <w:pPr>
        <w:pStyle w:val="FirstParagraph"/>
      </w:pPr>
      <w:r>
        <w:t xml:space="preserve">Protocol Data (Accounting Standard):</w:t>
      </w:r>
      <w:r>
        <w:t xml:space="preserve"> </w:t>
      </w:r>
      <w:r>
        <w:rPr>
          <w:bCs/>
          <w:b/>
        </w:rPr>
        <w:t xml:space="preserve">GHG Protocol</w:t>
      </w:r>
    </w:p>
    <w:p>
      <w:pPr>
        <w:pStyle w:val="BodyText"/>
      </w:pPr>
      <w:r>
        <w:t xml:space="preserve">Company Name:</w:t>
      </w:r>
      <w:r>
        <w:t xml:space="preserve"> </w:t>
      </w:r>
      <w:r>
        <w:rPr>
          <w:bCs/>
          <w:b/>
        </w:rPr>
        <w:t xml:space="preserve">mlqhjnikki</w:t>
      </w:r>
    </w:p>
    <w:p>
      <w:pPr>
        <w:pStyle w:val="BodyText"/>
      </w:pPr>
      <w:r>
        <w:t xml:space="preserve">Senior Sustainability Consultant:</w:t>
      </w:r>
      <w:r>
        <w:t xml:space="preserve"> </w:t>
      </w:r>
      <w:r>
        <w:rPr>
          <w:bCs/>
          <w:b/>
        </w:rPr>
        <w:t xml:space="preserve">gfxxqufnwh</w:t>
      </w:r>
    </w:p>
    <w:p>
      <w:pPr>
        <w:pStyle w:val="BodyText"/>
      </w:pPr>
      <w:r>
        <w:t xml:space="preserve">Disclaimer: This report is generated based on available data and industry standards, providing an estimate of the Product Carbon Footprint. Specific primary data would enhance accuracy.</w:t>
      </w:r>
    </w:p>
    <w:bookmarkEnd w:id="20"/>
    <w:bookmarkEnd w:id="21"/>
    <w:bookmarkStart w:id="53" w:name="X0c5035f116202c13304e89b0c6173116b41eacd"/>
    <w:p>
      <w:pPr>
        <w:pStyle w:val="Heading1"/>
      </w:pPr>
      <w:r>
        <w:t xml:space="preserve">Product Carbon Footprint Analysis Report: nphruldtzg</w:t>
      </w:r>
    </w:p>
    <w:p>
      <w:pPr>
        <w:pStyle w:val="FirstParagraph"/>
      </w:pPr>
      <w:r>
        <w:rPr>
          <w:bCs/>
          <w:b/>
        </w:rPr>
        <w:t xml:space="preserve">Generated Date:</w:t>
      </w:r>
      <w:r>
        <w:t xml:space="preserve"> </w:t>
      </w:r>
      <w:r>
        <w:t xml:space="preserve">May 20, 2026</w:t>
      </w:r>
    </w:p>
    <w:p>
      <w:pPr>
        <w:pStyle w:val="BodyText"/>
      </w:pPr>
      <w:r>
        <w:rPr>
          <w:bCs/>
          <w:b/>
        </w:rPr>
        <w:t xml:space="preserve">Senior Sustainability Consultant:</w:t>
      </w:r>
      <w:r>
        <w:t xml:space="preserve"> </w:t>
      </w:r>
      <w:r>
        <w:t xml:space="preserve">gfxxqufnwh</w:t>
      </w:r>
    </w:p>
    <w:p>
      <w:pPr>
        <w:pStyle w:val="BodyText"/>
      </w:pPr>
      <w:r>
        <w:rPr>
          <w:bCs/>
          <w:b/>
        </w:rPr>
        <w:t xml:space="preserve">Company Name:</w:t>
      </w:r>
      <w:r>
        <w:t xml:space="preserve"> </w:t>
      </w:r>
      <w:r>
        <w:t xml:space="preserve">mlqhjnikki</w:t>
      </w:r>
    </w:p>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 "nphruldtzg", manufactured by mlqhjnikki. The analysis, conducted by Senior Sustainability Consultant gfxxqufnwh, adheres strictly to the GHG Protocol and incorporates the 2026 Land Sector and Removals (LSR) Standard. Our findings indicate the primary emissions hotspots across the product\'s lifecycle, from raw material acquisition to end-of-life. Key recommendations are provided to guide mlqhjnikki in its decarbonization efforts and align with global sustainability goals.</w:t>
      </w:r>
    </w:p>
    <w:p>
      <w:r>
        <w:pict>
          <v:rect style="width:0;height:1.5pt" o:hralign="center" o:hrstd="t" o:hr="t"/>
        </w:pict>
      </w:r>
    </w:p>
    <w:bookmarkEnd w:id="22"/>
    <w:bookmarkStart w:id="28" w:name="methodology-and-scope-definition"/>
    <w:p>
      <w:pPr>
        <w:pStyle w:val="Heading2"/>
      </w:pPr>
      <w:r>
        <w:t xml:space="preserve">1. Methodology and Scope Definition</w:t>
      </w:r>
    </w:p>
    <w:p>
      <w:pPr>
        <w:pStyle w:val="FirstParagraph"/>
      </w:pPr>
      <w:r>
        <w:t xml:space="preserve">The Product Carbon Footprint (PCF) for nphruldtzg has been calculated using a comprehensive lifecycle assessment approach, following the five-step methodology recommended by the GHG Protocol. This ensures a robust and transparent assessment of greenhouse gas (GHG) emissions across the product\'s value chain.</w:t>
      </w:r>
    </w:p>
    <w:bookmarkStart w:id="23" w:name="accounting-standard"/>
    <w:p>
      <w:pPr>
        <w:pStyle w:val="Heading3"/>
      </w:pPr>
      <w:r>
        <w:t xml:space="preserve">1.1. Accounting Standard</w:t>
      </w:r>
    </w:p>
    <w:p>
      <w:pPr>
        <w:pStyle w:val="FirstParagraph"/>
      </w:pPr>
      <w:r>
        <w:t xml:space="preserve">This PCF analysis is conducted in accordance with the</w:t>
      </w:r>
      <w:r>
        <w:t xml:space="preserve"> </w:t>
      </w:r>
      <w:r>
        <w:rPr>
          <w:bCs/>
          <w:b/>
        </w:rPr>
        <w:t xml:space="preserve">GHG Protocol Product Standard</w:t>
      </w:r>
      <w:r>
        <w:t xml:space="preserve"> </w:t>
      </w:r>
      <w:r>
        <w:t xml:space="preserve">(A Corporate Accounting and Reporting Standard for the Carbon Footprint of Products). Emissions are categorized into Scope 1 (direct emissions from owned or controlled sources), Scope 2 (indirect emissions from the generation of purchased energy), and Scope 3 (all other indirect emissions that occur in a company’s value chain).</w:t>
      </w:r>
    </w:p>
    <w:p>
      <w:pPr>
        <w:pStyle w:val="BodyText"/>
      </w:pPr>
      <w:r>
        <w:t xml:space="preserve">In anticipation of future requirements, this analysis conceptually integrates aspects of the</w:t>
      </w:r>
      <w:r>
        <w:t xml:space="preserve"> </w:t>
      </w:r>
      <w:r>
        <w:rPr>
          <w:bCs/>
          <w:b/>
        </w:rPr>
        <w:t xml:space="preserve">2026 Land Sector and Removals (LSR) Standard</w:t>
      </w:r>
      <w:r>
        <w:t xml:space="preserve">, acknowledging the importance of land use change and carbon removals where relevant, though detailed quantification beyond the provided data is outside the scope of this specific report.</w:t>
      </w:r>
    </w:p>
    <w:bookmarkEnd w:id="23"/>
    <w:bookmarkStart w:id="24" w:name="functional-unit"/>
    <w:p>
      <w:pPr>
        <w:pStyle w:val="Heading3"/>
      </w:pPr>
      <w:r>
        <w:t xml:space="preserve">1.2. Functional Unit</w:t>
      </w:r>
    </w:p>
    <w:p>
      <w:pPr>
        <w:pStyle w:val="FirstParagraph"/>
      </w:pPr>
      <w:r>
        <w:t xml:space="preserve">The functional unit for this analysis is defined as:</w:t>
      </w:r>
      <w:r>
        <w:t xml:space="preserve"> </w:t>
      </w:r>
      <w:r>
        <w:rPr>
          <w:bCs/>
          <w:b/>
        </w:rPr>
        <w:t xml:space="preserve">1.0 unit of nphruldtzg</w:t>
      </w:r>
      <w:r>
        <w:t xml:space="preserve">.</w:t>
      </w:r>
    </w:p>
    <w:bookmarkEnd w:id="24"/>
    <w:bookmarkStart w:id="25" w:name="system-boundary"/>
    <w:p>
      <w:pPr>
        <w:pStyle w:val="Heading3"/>
      </w:pPr>
      <w:r>
        <w:t xml:space="preserve">1.3. System Boundary</w:t>
      </w:r>
    </w:p>
    <w:p>
      <w:pPr>
        <w:pStyle w:val="FirstParagraph"/>
      </w:pPr>
      <w:r>
        <w:t xml:space="preserve">The system boundary for this PCF is defined as</w:t>
      </w:r>
      <w:r>
        <w:t xml:space="preserve"> </w:t>
      </w:r>
      <w:r>
        <w:rPr>
          <w:bCs/>
          <w:b/>
        </w:rPr>
        <w:t xml:space="preserve">"factory_gate"</w:t>
      </w:r>
      <w:r>
        <w:t xml:space="preserve">. This encompasses all relevant activities from raw material extraction and processing (cradle) up to the point where the finished product leaves the manufacturing facility (gate). While the primary boundary is factory gate, for a holistic view as per GHG Protocol Scope 3 requirements, downstream stages (transportation, use phase, and end-of-life) are also included in the analysis.</w:t>
      </w:r>
    </w:p>
    <w:bookmarkEnd w:id="25"/>
    <w:bookmarkStart w:id="26" w:name="geographic-scope"/>
    <w:p>
      <w:pPr>
        <w:pStyle w:val="Heading3"/>
      </w:pPr>
      <w:r>
        <w:t xml:space="preserve">1.4. Geographic Scope</w:t>
      </w:r>
    </w:p>
    <w:p>
      <w:pPr>
        <w:numPr>
          <w:ilvl w:val="0"/>
          <w:numId w:val="1001"/>
        </w:numPr>
        <w:pStyle w:val="Compact"/>
      </w:pPr>
      <w:r>
        <w:rPr>
          <w:bCs/>
          <w:b/>
        </w:rPr>
        <w:t xml:space="preserve">Final Production Country:</w:t>
      </w:r>
      <w:r>
        <w:t xml:space="preserve"> </w:t>
      </w:r>
      <w:r>
        <w:t xml:space="preserve">China</w:t>
      </w:r>
    </w:p>
    <w:p>
      <w:pPr>
        <w:numPr>
          <w:ilvl w:val="0"/>
          <w:numId w:val="1001"/>
        </w:numPr>
        <w:pStyle w:val="Compact"/>
      </w:pPr>
      <w:r>
        <w:rPr>
          <w:bCs/>
          <w:b/>
        </w:rPr>
        <w:t xml:space="preserve">Supply Chain Focus:</w:t>
      </w:r>
      <w:r>
        <w:t xml:space="preserve"> </w:t>
      </w:r>
      <w:r>
        <w:t xml:space="preserve">Europe Focused</w:t>
      </w:r>
    </w:p>
    <w:p>
      <w:pPr>
        <w:numPr>
          <w:ilvl w:val="0"/>
          <w:numId w:val="1001"/>
        </w:numPr>
        <w:pStyle w:val="Compact"/>
      </w:pPr>
      <w:r>
        <w:rPr>
          <w:bCs/>
          <w:b/>
        </w:rPr>
        <w:t xml:space="preserve">Use Phase &amp; End-of-Life:</w:t>
      </w:r>
      <w:r>
        <w:t xml:space="preserve"> </w:t>
      </w:r>
      <w:r>
        <w:t xml:space="preserve">Assumed to be representative of European market conditions due to the supply chain focus, unless specified otherwise.</w:t>
      </w:r>
    </w:p>
    <w:bookmarkEnd w:id="26"/>
    <w:bookmarkStart w:id="27" w:name="allocation"/>
    <w:p>
      <w:pPr>
        <w:pStyle w:val="Heading3"/>
      </w:pPr>
      <w:r>
        <w:t xml:space="preserve">1.5. Allocation</w:t>
      </w:r>
    </w:p>
    <w:p>
      <w:pPr>
        <w:pStyle w:val="FirstParagraph"/>
      </w:pPr>
      <w:r>
        <w:t xml:space="preserve">Where co-products or waste materials are generated, allocation of environmental impacts is performed based on the physical relationship (e.g., mass or energy content) to the functional unit. For recycling, the "avoided burden" approach is used for end-of-life benefits.</w:t>
      </w:r>
    </w:p>
    <w:p>
      <w:r>
        <w:pict>
          <v:rect style="width:0;height:1.5pt" o:hralign="center" o:hrstd="t" o:hr="t"/>
        </w:pict>
      </w:r>
    </w:p>
    <w:bookmarkEnd w:id="27"/>
    <w:bookmarkEnd w:id="28"/>
    <w:bookmarkStart w:id="29" w:name="lifecycle-mapping-lci-inventory-stages"/>
    <w:p>
      <w:pPr>
        <w:pStyle w:val="Heading2"/>
      </w:pPr>
      <w:r>
        <w:t xml:space="preserve">2. Lifecycle Mapping (LCI Inventory Stages)</w:t>
      </w:r>
    </w:p>
    <w:p>
      <w:pPr>
        <w:pStyle w:val="FirstParagraph"/>
      </w:pPr>
      <w:r>
        <w:t xml:space="preserve">The lifecycle of nphruldtzg is mapped into the following key stages, enabling a comprehensive inventory of material and energy flows:</w:t>
      </w:r>
    </w:p>
    <w:p>
      <w:pPr>
        <w:numPr>
          <w:ilvl w:val="0"/>
          <w:numId w:val="1002"/>
        </w:numPr>
        <w:pStyle w:val="Compact"/>
      </w:pPr>
      <w:r>
        <w:rPr>
          <w:bCs/>
          <w:b/>
        </w:rPr>
        <w:t xml:space="preserve">Raw Material Acquisition &amp; Pre-processing (Upstream Scope 3, Category 1 - Purchased Goods and Services):</w:t>
      </w:r>
      <w:r>
        <w:t xml:space="preserve"> </w:t>
      </w:r>
      <w:r>
        <w:t xml:space="preserve">Extraction, processing, and refining of all constituent materials.</w:t>
      </w:r>
    </w:p>
    <w:p>
      <w:pPr>
        <w:numPr>
          <w:ilvl w:val="0"/>
          <w:numId w:val="1002"/>
        </w:numPr>
        <w:pStyle w:val="Compact"/>
      </w:pPr>
      <w:r>
        <w:rPr>
          <w:bCs/>
          <w:b/>
        </w:rPr>
        <w:t xml:space="preserve">Manufacturing (Scope 1 &amp; 2, and Upstream Scope 3, Category 1 &amp; 4):</w:t>
      </w:r>
      <w:r>
        <w:t xml:space="preserve"> </w:t>
      </w:r>
      <w:r>
        <w:t xml:space="preserve">Production of components, assembly processes, and packaging at the mlqhjnikki facility in China, including energy consumption for machinery and facility operations, and upstream transportation of materials.</w:t>
      </w:r>
    </w:p>
    <w:p>
      <w:pPr>
        <w:numPr>
          <w:ilvl w:val="0"/>
          <w:numId w:val="1002"/>
        </w:numPr>
        <w:pStyle w:val="Compact"/>
      </w:pPr>
      <w:r>
        <w:rPr>
          <w:bCs/>
          <w:b/>
        </w:rPr>
        <w:t xml:space="preserve">Transportation (Upstream &amp; Downstream Scope 3, Categories 4 &amp; 9):</w:t>
      </w:r>
      <w:r>
        <w:t xml:space="preserve"> </w:t>
      </w:r>
      <w:r>
        <w:t xml:space="preserve">Transportation of raw materials and components from suppliers (Europe Focused) to the manufacturing site (China), and transport of the finished product to the customer, including last-mile delivery.</w:t>
      </w:r>
    </w:p>
    <w:p>
      <w:pPr>
        <w:numPr>
          <w:ilvl w:val="0"/>
          <w:numId w:val="1002"/>
        </w:numPr>
        <w:pStyle w:val="Compact"/>
      </w:pPr>
      <w:r>
        <w:rPr>
          <w:bCs/>
          <w:b/>
        </w:rPr>
        <w:t xml:space="preserve">Use Phase (Downstream Scope 3, Category 11 - Use of Sold Products):</w:t>
      </w:r>
      <w:r>
        <w:t xml:space="preserve"> </w:t>
      </w:r>
      <w:r>
        <w:t xml:space="preserve">Energy consumption during the product\'s operational lifespan.</w:t>
      </w:r>
    </w:p>
    <w:p>
      <w:pPr>
        <w:numPr>
          <w:ilvl w:val="0"/>
          <w:numId w:val="1002"/>
        </w:numPr>
        <w:pStyle w:val="Compact"/>
      </w:pPr>
      <w:r>
        <w:rPr>
          <w:bCs/>
          <w:b/>
        </w:rPr>
        <w:t xml:space="preserve">End-of-Life (Downstream Scope 3, Category 12 - End-of-Life Treatment of Sold Products):</w:t>
      </w:r>
      <w:r>
        <w:t xml:space="preserve"> </w:t>
      </w:r>
      <w:r>
        <w:t xml:space="preserve">Disposal or recycling of the product and its packaging at the end of its useful life.</w:t>
      </w:r>
    </w:p>
    <w:p>
      <w:r>
        <w:pict>
          <v:rect style="width:0;height:1.5pt" o:hralign="center" o:hrstd="t" o:hr="t"/>
        </w:pict>
      </w:r>
    </w:p>
    <w:bookmarkEnd w:id="29"/>
    <w:bookmarkStart w:id="35" w:name="X7b6d01ce7b6bfe45f00681616505557cddf238f"/>
    <w:p>
      <w:pPr>
        <w:pStyle w:val="Heading2"/>
      </w:pPr>
      <w:r>
        <w:t xml:space="preserve">3. Data Collection (Primary/Secondary Data Points)</w:t>
      </w:r>
    </w:p>
    <w:p>
      <w:pPr>
        <w:pStyle w:val="FirstParagraph"/>
      </w:pPr>
      <w:r>
        <w:t xml:space="preserve">Data was collected from provided parameters, combined with industry-standard secondary emission factors for processes where primary data was not available.</w:t>
      </w:r>
    </w:p>
    <w:bookmarkStart w:id="30" w:name="X291f196f9c87643b24fc602e29cc8a7c3ebda04"/>
    <w:p>
      <w:pPr>
        <w:pStyle w:val="Heading3"/>
      </w:pPr>
      <w:r>
        <w:t xml:space="preserve">3.1. Detailed Bill of Materials (BOM) for nphruldtzg</w:t>
      </w:r>
    </w:p>
    <w:p>
      <w:pPr>
        <w:pStyle w:val="FirstParagraph"/>
      </w:pPr>
      <w:r>
        <w:t xml:space="preserve">The following detailed Bill of Materials (BOM) was used to calculate the material impact for nphruldtzg. The \'Total Carbon\' values provided were directly utilized for high-accuracy material impact calculation.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ITEM001</w:t>
            </w:r>
          </w:p>
        </w:tc>
        <w:tc>
          <w:tcPr/>
          <w:p>
            <w:pPr>
              <w:pStyle w:val="Compact"/>
              <w:jc w:val="left"/>
            </w:pPr>
            <w:r>
              <w:t xml:space="preserve">Aluminum Housing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2.5</w:t>
            </w:r>
          </w:p>
        </w:tc>
        <w:tc>
          <w:tcPr/>
          <w:p>
            <w:pPr>
              <w:pStyle w:val="Compact"/>
              <w:jc w:val="left"/>
            </w:pPr>
            <w:r>
              <w:t xml:space="preserve">1.25</w:t>
            </w:r>
          </w:p>
        </w:tc>
      </w:tr>
      <w:tr>
        <w:tc>
          <w:tcPr/>
          <w:p>
            <w:pPr>
              <w:pStyle w:val="Compact"/>
              <w:jc w:val="left"/>
            </w:pPr>
            <w:r>
              <w:t xml:space="preserve">ITEM002</w:t>
            </w:r>
          </w:p>
        </w:tc>
        <w:tc>
          <w:tcPr/>
          <w:p>
            <w:pPr>
              <w:pStyle w:val="Compact"/>
              <w:jc w:val="left"/>
            </w:pPr>
            <w:r>
              <w:t xml:space="preserve">Plastic Casing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3.0</w:t>
            </w:r>
          </w:p>
        </w:tc>
        <w:tc>
          <w:tcPr/>
          <w:p>
            <w:pPr>
              <w:pStyle w:val="Compact"/>
              <w:jc w:val="left"/>
            </w:pPr>
            <w:r>
              <w:t xml:space="preserve">0.9</w:t>
            </w:r>
          </w:p>
        </w:tc>
      </w:tr>
      <w:tr>
        <w:tc>
          <w:tcPr/>
          <w:p>
            <w:pPr>
              <w:pStyle w:val="Compact"/>
              <w:jc w:val="left"/>
            </w:pPr>
            <w:r>
              <w:t xml:space="preserve">ITEM003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10.0</w:t>
            </w:r>
          </w:p>
        </w:tc>
        <w:tc>
          <w:tcPr/>
          <w:p>
            <w:pPr>
              <w:pStyle w:val="Compact"/>
              <w:jc w:val="left"/>
            </w:pPr>
            <w:r>
              <w:t xml:space="preserve">1.0</w:t>
            </w:r>
          </w:p>
        </w:tc>
      </w:tr>
      <w:tr>
        <w:tc>
          <w:tcPr/>
          <w:p>
            <w:pPr>
              <w:pStyle w:val="Compact"/>
              <w:jc w:val="left"/>
            </w:pPr>
            <w:r>
              <w:t xml:space="preserve">ITEM004</w:t>
            </w:r>
          </w:p>
        </w:tc>
        <w:tc>
          <w:tcPr/>
          <w:p>
            <w:pPr>
              <w:pStyle w:val="Compact"/>
              <w:jc w:val="left"/>
            </w:pPr>
            <w:r>
              <w:t xml:space="preserve">Packaging</w:t>
            </w:r>
          </w:p>
        </w:tc>
        <w:tc>
          <w:tcPr/>
          <w:p>
            <w:pPr>
              <w:pStyle w:val="Compact"/>
              <w:jc w:val="left"/>
            </w:pPr>
            <w:r>
              <w:t xml:space="preserve">Cardboard</w:t>
            </w:r>
          </w:p>
        </w:tc>
        <w:tc>
          <w:tcPr/>
          <w:p>
            <w:pPr>
              <w:pStyle w:val="Compact"/>
              <w:jc w:val="left"/>
            </w:pPr>
            <w:r>
              <w:t xml:space="preserve">Processing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1.5</w:t>
            </w:r>
          </w:p>
        </w:tc>
        <w:tc>
          <w:tcPr/>
          <w:p>
            <w:pPr>
              <w:pStyle w:val="Compact"/>
              <w:jc w:val="left"/>
            </w:pPr>
            <w:r>
              <w:t xml:space="preserve">0.3</w:t>
            </w:r>
          </w:p>
        </w:tc>
      </w:tr>
    </w:tbl>
    <w:p>
      <w:pPr>
        <w:pStyle w:val="BodyText"/>
      </w:pPr>
      <w:r>
        <w:rPr>
          <w:bCs/>
          <w:b/>
        </w:rPr>
        <w:t xml:space="preserve">Total Material Emissions (from BOM):</w:t>
      </w:r>
      <w:r>
        <w:t xml:space="preserve"> </w:t>
      </w:r>
      <w:r>
        <w:t xml:space="preserve">3.45 kg CO2e</w:t>
      </w:r>
    </w:p>
    <w:bookmarkEnd w:id="30"/>
    <w:bookmarkStart w:id="31" w:name="energy-inputs-manufacturing-phase"/>
    <w:p>
      <w:pPr>
        <w:pStyle w:val="Heading3"/>
      </w:pPr>
      <w:r>
        <w:t xml:space="preserve">3.2. Energy Inputs (Manufacturing Phase)</w:t>
      </w:r>
    </w:p>
    <w:p>
      <w:pPr>
        <w:numPr>
          <w:ilvl w:val="0"/>
          <w:numId w:val="1003"/>
        </w:numPr>
        <w:pStyle w:val="Compact"/>
      </w:pPr>
      <w:r>
        <w:rPr>
          <w:bCs/>
          <w:b/>
        </w:rPr>
        <w:t xml:space="preserve">Energy Intensity (kWh/unit):</w:t>
      </w:r>
      <w:r>
        <w:t xml:space="preserve"> </w:t>
      </w:r>
      <w:r>
        <w:t xml:space="preserve">mvkkpgyjwt (Assumed 15 kWh/unit for calculation)</w:t>
      </w:r>
    </w:p>
    <w:p>
      <w:pPr>
        <w:numPr>
          <w:ilvl w:val="0"/>
          <w:numId w:val="1003"/>
        </w:numPr>
        <w:pStyle w:val="Compact"/>
      </w:pPr>
      <w:r>
        <w:rPr>
          <w:bCs/>
          <w:b/>
        </w:rPr>
        <w:t xml:space="preserve">Renewable Energy Usage:</w:t>
      </w:r>
      <w:r>
        <w:t xml:space="preserve"> </w:t>
      </w:r>
      <w:r>
        <w:t xml:space="preserve">ejgxfhrmll (Assumed 50%)</w:t>
      </w:r>
    </w:p>
    <w:p>
      <w:pPr>
        <w:numPr>
          <w:ilvl w:val="0"/>
          <w:numId w:val="1003"/>
        </w:numPr>
        <w:pStyle w:val="Compact"/>
      </w:pPr>
      <w:r>
        <w:rPr>
          <w:bCs/>
          <w:b/>
        </w:rPr>
        <w:t xml:space="preserve">Non-renewable Electricity (Grid Mix):</w:t>
      </w:r>
      <w:r>
        <w:t xml:space="preserve"> </w:t>
      </w:r>
      <w:r>
        <w:t xml:space="preserve">(1 - 0.50) * 15 kWh = 7.5 kWh/unit</w:t>
      </w:r>
    </w:p>
    <w:p>
      <w:pPr>
        <w:numPr>
          <w:ilvl w:val="0"/>
          <w:numId w:val="1003"/>
        </w:numPr>
        <w:pStyle w:val="Compact"/>
      </w:pPr>
      <w:r>
        <w:rPr>
          <w:bCs/>
          <w:b/>
        </w:rPr>
        <w:t xml:space="preserve">Chinese Electricity Grid Emission Factor:</w:t>
      </w:r>
      <w:r>
        <w:t xml:space="preserve"> </w:t>
      </w:r>
      <w:r>
        <w:t xml:space="preserve">0.6205 kg CO2e/kWh (2023 National Average)</w:t>
      </w:r>
    </w:p>
    <w:bookmarkEnd w:id="31"/>
    <w:bookmarkStart w:id="32" w:name="logistics-data-transportation"/>
    <w:p>
      <w:pPr>
        <w:pStyle w:val="Heading3"/>
      </w:pPr>
      <w:r>
        <w:t xml:space="preserve">3.3. Logistics Data (Transportation)</w:t>
      </w:r>
    </w:p>
    <w:p>
      <w:pPr>
        <w:numPr>
          <w:ilvl w:val="0"/>
          <w:numId w:val="1004"/>
        </w:numPr>
        <w:pStyle w:val="Compact"/>
      </w:pPr>
      <w:r>
        <w:rPr>
          <w:bCs/>
          <w:b/>
        </w:rPr>
        <w:t xml:space="preserve">Transport Mode (Upstream):</w:t>
      </w:r>
      <w:r>
        <w:t xml:space="preserve"> </w:t>
      </w:r>
      <w:r>
        <w:t xml:space="preserve">Select Mode (Assumed Road Freight, Heavy Goods Vehicle)</w:t>
      </w:r>
    </w:p>
    <w:p>
      <w:pPr>
        <w:numPr>
          <w:ilvl w:val="0"/>
          <w:numId w:val="1004"/>
        </w:numPr>
        <w:pStyle w:val="Compact"/>
      </w:pPr>
      <w:r>
        <w:rPr>
          <w:bCs/>
          <w:b/>
        </w:rPr>
        <w:t xml:space="preserve">Transport Distance (Upstream):</w:t>
      </w:r>
      <w:r>
        <w:t xml:space="preserve"> </w:t>
      </w:r>
      <w:r>
        <w:t xml:space="preserve">opnlekitqt (Assumed 1000 km)</w:t>
      </w:r>
    </w:p>
    <w:p>
      <w:pPr>
        <w:numPr>
          <w:ilvl w:val="0"/>
          <w:numId w:val="1004"/>
        </w:numPr>
        <w:pStyle w:val="Compact"/>
      </w:pPr>
      <w:r>
        <w:rPr>
          <w:bCs/>
          <w:b/>
        </w:rPr>
        <w:t xml:space="preserve">Typical Load Factor for Upstream Transport:</w:t>
      </w:r>
      <w:r>
        <w:t xml:space="preserve"> </w:t>
      </w:r>
      <w:r>
        <w:t xml:space="preserve">Assumed 5 tonnes (5000 kg) for calculating tkm.</w:t>
      </w:r>
    </w:p>
    <w:p>
      <w:pPr>
        <w:numPr>
          <w:ilvl w:val="0"/>
          <w:numId w:val="1004"/>
        </w:numPr>
        <w:pStyle w:val="Compact"/>
      </w:pPr>
      <w:r>
        <w:rPr>
          <w:bCs/>
          <w:b/>
        </w:rPr>
        <w:t xml:space="preserve">Last-Mile Delivery Channel:</w:t>
      </w:r>
      <w:r>
        <w:t xml:space="preserve"> </w:t>
      </w:r>
      <w:r>
        <w:t xml:space="preserve">Delivery Type (Assumed Parcel Delivery Van)</w:t>
      </w:r>
    </w:p>
    <w:p>
      <w:pPr>
        <w:numPr>
          <w:ilvl w:val="0"/>
          <w:numId w:val="1004"/>
        </w:numPr>
        <w:pStyle w:val="Compact"/>
      </w:pPr>
      <w:r>
        <w:rPr>
          <w:bCs/>
          <w:b/>
        </w:rPr>
        <w:t xml:space="preserve">Last-Mile Delivery Distance:</w:t>
      </w:r>
      <w:r>
        <w:t xml:space="preserve"> </w:t>
      </w:r>
      <w:r>
        <w:t xml:space="preserve">Assumed 50 km (illustrative)</w:t>
      </w:r>
    </w:p>
    <w:p>
      <w:pPr>
        <w:numPr>
          <w:ilvl w:val="0"/>
          <w:numId w:val="1004"/>
        </w:numPr>
        <w:pStyle w:val="Compact"/>
      </w:pPr>
      <w:r>
        <w:rPr>
          <w:bCs/>
          <w:b/>
        </w:rPr>
        <w:t xml:space="preserve">Road Freight Emission Factor (Heavy Goods Vehicle):</w:t>
      </w:r>
      <w:r>
        <w:t xml:space="preserve"> </w:t>
      </w:r>
      <w:r>
        <w:t xml:space="preserve">0.15 kg CO2e/tkm (illustrative, based on industry averages)</w:t>
      </w:r>
    </w:p>
    <w:p>
      <w:pPr>
        <w:numPr>
          <w:ilvl w:val="0"/>
          <w:numId w:val="1004"/>
        </w:numPr>
        <w:pStyle w:val="Compact"/>
      </w:pPr>
      <w:r>
        <w:rPr>
          <w:bCs/>
          <w:b/>
        </w:rPr>
        <w:t xml:space="preserve">Parcel Delivery Van Emission Factor:</w:t>
      </w:r>
      <w:r>
        <w:t xml:space="preserve"> </w:t>
      </w:r>
      <w:r>
        <w:t xml:space="preserve">0.24934 kg CO2e/km</w:t>
      </w:r>
    </w:p>
    <w:bookmarkEnd w:id="32"/>
    <w:bookmarkStart w:id="33" w:name="use-phase-data"/>
    <w:p>
      <w:pPr>
        <w:pStyle w:val="Heading3"/>
      </w:pPr>
      <w:r>
        <w:t xml:space="preserve">3.4. Use Phase Data</w:t>
      </w:r>
    </w:p>
    <w:p>
      <w:pPr>
        <w:numPr>
          <w:ilvl w:val="0"/>
          <w:numId w:val="1005"/>
        </w:numPr>
        <w:pStyle w:val="Compact"/>
      </w:pPr>
      <w:r>
        <w:rPr>
          <w:bCs/>
          <w:b/>
        </w:rPr>
        <w:t xml:space="preserve">Product Lifespan:</w:t>
      </w:r>
      <w:r>
        <w:t xml:space="preserve"> </w:t>
      </w:r>
      <w:r>
        <w:t xml:space="preserve">vksmvjznlw (Assumed 5 years)</w:t>
      </w:r>
    </w:p>
    <w:p>
      <w:pPr>
        <w:numPr>
          <w:ilvl w:val="0"/>
          <w:numId w:val="1005"/>
        </w:numPr>
        <w:pStyle w:val="Compact"/>
      </w:pPr>
      <w:r>
        <w:rPr>
          <w:bCs/>
          <w:b/>
        </w:rPr>
        <w:t xml:space="preserve">Energy Consumption in Use:</w:t>
      </w:r>
      <w:r>
        <w:t xml:space="preserve"> </w:t>
      </w:r>
      <w:r>
        <w:t xml:space="preserve">ekdffejwwi (Assumed 20 kWh/year)</w:t>
      </w:r>
    </w:p>
    <w:p>
      <w:pPr>
        <w:numPr>
          <w:ilvl w:val="0"/>
          <w:numId w:val="1005"/>
        </w:numPr>
        <w:pStyle w:val="Compact"/>
      </w:pPr>
      <w:r>
        <w:rPr>
          <w:bCs/>
          <w:b/>
        </w:rPr>
        <w:t xml:space="preserve">European Average Electricity Grid Emission Factor (for Use Phase):</w:t>
      </w:r>
      <w:r>
        <w:t xml:space="preserve"> </w:t>
      </w:r>
      <w:r>
        <w:t xml:space="preserve">0.238 kg CO2e/kWh</w:t>
      </w:r>
    </w:p>
    <w:bookmarkEnd w:id="33"/>
    <w:bookmarkStart w:id="34" w:name="end-of-life-eol-scenarios"/>
    <w:p>
      <w:pPr>
        <w:pStyle w:val="Heading3"/>
      </w:pPr>
      <w:r>
        <w:t xml:space="preserve">3.5. End-of-Life (EoL) Scenarios</w:t>
      </w:r>
    </w:p>
    <w:p>
      <w:pPr>
        <w:numPr>
          <w:ilvl w:val="0"/>
          <w:numId w:val="1006"/>
        </w:numPr>
        <w:pStyle w:val="Compact"/>
      </w:pPr>
      <w:r>
        <w:rPr>
          <w:bCs/>
          <w:b/>
        </w:rPr>
        <w:t xml:space="preserve">Recyclability Percentage:</w:t>
      </w:r>
      <w:r>
        <w:t xml:space="preserve"> </w:t>
      </w:r>
      <w:r>
        <w:t xml:space="preserve">ioghwgkmxq (Assumed 70%)</w:t>
      </w:r>
    </w:p>
    <w:p>
      <w:pPr>
        <w:numPr>
          <w:ilvl w:val="0"/>
          <w:numId w:val="1006"/>
        </w:numPr>
        <w:pStyle w:val="Compact"/>
      </w:pPr>
      <w:r>
        <w:rPr>
          <w:bCs/>
          <w:b/>
        </w:rPr>
        <w:t xml:space="preserve">Circular/Take-back Programs:</w:t>
      </w:r>
      <w:r>
        <w:t xml:space="preserve"> </w:t>
      </w:r>
      <w:r>
        <w:t xml:space="preserve">lmqthzdefn (Acknowledged as "Established take-back program for product components")</w:t>
      </w:r>
    </w:p>
    <w:p>
      <w:pPr>
        <w:numPr>
          <w:ilvl w:val="0"/>
          <w:numId w:val="1006"/>
        </w:numPr>
        <w:pStyle w:val="Compact"/>
      </w:pPr>
      <w:r>
        <w:rPr>
          <w:bCs/>
          <w:b/>
        </w:rPr>
        <w:t xml:space="preserve">Avoided Emissions from Recycling (Illustrative):</w:t>
      </w:r>
    </w:p>
    <w:p>
      <w:pPr>
        <w:numPr>
          <w:ilvl w:val="1"/>
          <w:numId w:val="1007"/>
        </w:numPr>
        <w:pStyle w:val="Compact"/>
      </w:pPr>
      <w:r>
        <w:t xml:space="preserve">Plastic: 1.2 kg CO2e/kg (for mixed plastics)</w:t>
      </w:r>
    </w:p>
    <w:p>
      <w:pPr>
        <w:numPr>
          <w:ilvl w:val="1"/>
          <w:numId w:val="1007"/>
        </w:numPr>
        <w:pStyle w:val="Compact"/>
      </w:pPr>
      <w:r>
        <w:t xml:space="preserve">Metal: 5.0 kg CO2e/kg (average for steel/aluminum, illustrative)</w:t>
      </w:r>
    </w:p>
    <w:p>
      <w:pPr>
        <w:numPr>
          <w:ilvl w:val="0"/>
          <w:numId w:val="1006"/>
        </w:numPr>
        <w:pStyle w:val="Compact"/>
      </w:pPr>
      <w:r>
        <w:rPr>
          <w:bCs/>
          <w:b/>
        </w:rPr>
        <w:t xml:space="preserve">Mass of Recyclable Materials:</w:t>
      </w:r>
      <w:r>
        <w:t xml:space="preserve"> </w:t>
      </w:r>
      <w:r>
        <w:t xml:space="preserve">Total material in BOM = 0.5 kg (Al) + 0.3 kg (Plastic) + 0.2 kg (Cardboard) = 1.0 kg (excluding circuit board for simplification in EoL calculation for now, focusing on primary materials). Let\'s use total mass of aluminum and plastic from BOM: 0.5 kg (Aluminum) + 0.3 kg (Plastic) = 0.8 kg.</w:t>
      </w:r>
    </w:p>
    <w:p>
      <w:pPr>
        <w:pStyle w:val="FirstParagraph"/>
      </w:pPr>
      <w:r>
        <w:rPr>
          <w:iCs/>
          <w:i/>
        </w:rPr>
        <w:t xml:space="preserve">Note: All placeholder values (e.g., Select Mode, opnlekitqt, ejgxfhrmll) have been assigned reasonable, illustrative numerical values for calculation purposes, as explicitly stated in the respective sections.</w:t>
      </w:r>
    </w:p>
    <w:p>
      <w:r>
        <w:pict>
          <v:rect style="width:0;height:1.5pt" o:hralign="center" o:hrstd="t" o:hr="t"/>
        </w:pict>
      </w:r>
    </w:p>
    <w:bookmarkEnd w:id="34"/>
    <w:bookmarkEnd w:id="35"/>
    <w:bookmarkStart w:id="44" w:name="Xdd1c2ba429305467bad58a0828410d9d0fce25c"/>
    <w:p>
      <w:pPr>
        <w:pStyle w:val="Heading2"/>
      </w:pPr>
      <w:r>
        <w:t xml:space="preserve">4. Emissions Calculation (Activity * Emission Factor = CO2e)</w:t>
      </w:r>
    </w:p>
    <w:p>
      <w:pPr>
        <w:pStyle w:val="FirstParagraph"/>
      </w:pPr>
      <w:r>
        <w:t xml:space="preserve">Emissions are calculated for each lifecycle stage and categorized according to the GHG Protocol\'s Scope 1, 2, and 3 definitions. A target of at least 95% coverage for Scope 3 reporting is maintained as per 2026 requirements.</w:t>
      </w:r>
    </w:p>
    <w:bookmarkStart w:id="36" w:name="scope-1-emissions-direct-emissions"/>
    <w:p>
      <w:pPr>
        <w:pStyle w:val="Heading3"/>
      </w:pPr>
      <w:r>
        <w:t xml:space="preserve">4.1. Scope 1 Emissions (Direct Emissions)</w:t>
      </w:r>
    </w:p>
    <w:p>
      <w:pPr>
        <w:pStyle w:val="FirstParagraph"/>
      </w:pPr>
      <w:r>
        <w:t xml:space="preserve">Based on the provided parameters, no direct on-site fuel combustion or process emissions (Scope 1) are explicitly identified for the manufacturing of nphruldtzg. Therefore, Scope 1 emissions are considered negligible for this product-level analysis within the factory_gate boundary. If mlqhjnikki has direct emissions from owned or controlled facilities related to the production of this product (e.g., company vehicles, on-site heating), these would be included.</w:t>
      </w:r>
    </w:p>
    <w:p>
      <w:pPr>
        <w:pStyle w:val="BodyText"/>
      </w:pPr>
      <w:r>
        <w:rPr>
          <w:bCs/>
          <w:b/>
        </w:rPr>
        <w:t xml:space="preserve">Total Scope 1 Emissions: 0.00 kg CO2e</w:t>
      </w:r>
    </w:p>
    <w:bookmarkEnd w:id="36"/>
    <w:bookmarkStart w:id="37" w:name="scope-2-emissions-purchased-energy"/>
    <w:p>
      <w:pPr>
        <w:pStyle w:val="Heading3"/>
      </w:pPr>
      <w:r>
        <w:t xml:space="preserve">4.2. Scope 2 Emissions (Purchased Energy)</w:t>
      </w:r>
    </w:p>
    <w:p>
      <w:pPr>
        <w:pStyle w:val="FirstParagraph"/>
      </w:pPr>
      <w:r>
        <w:t xml:space="preserve">These emissions arise from purchased electricity used in the manufacturing facility in China.</w:t>
      </w:r>
    </w:p>
    <w:p>
      <w:pPr>
        <w:numPr>
          <w:ilvl w:val="0"/>
          <w:numId w:val="1008"/>
        </w:numPr>
        <w:pStyle w:val="Compact"/>
      </w:pPr>
      <w:r>
        <w:t xml:space="preserve">Total Energy Intensity: 15 kWh/unit</w:t>
      </w:r>
    </w:p>
    <w:p>
      <w:pPr>
        <w:numPr>
          <w:ilvl w:val="0"/>
          <w:numId w:val="1008"/>
        </w:numPr>
        <w:pStyle w:val="Compact"/>
      </w:pPr>
      <w:r>
        <w:t xml:space="preserve">Renewable Energy Usage: 50%</w:t>
      </w:r>
    </w:p>
    <w:p>
      <w:pPr>
        <w:numPr>
          <w:ilvl w:val="0"/>
          <w:numId w:val="1008"/>
        </w:numPr>
        <w:pStyle w:val="Compact"/>
      </w:pPr>
      <w:r>
        <w:t xml:space="preserve">Non-renewable electricity consumption = 15 kWh/unit * (1 - 0.50) = 7.5 kWh/unit</w:t>
      </w:r>
    </w:p>
    <w:p>
      <w:pPr>
        <w:numPr>
          <w:ilvl w:val="0"/>
          <w:numId w:val="1008"/>
        </w:numPr>
        <w:pStyle w:val="Compact"/>
      </w:pPr>
      <w:r>
        <w:t xml:space="preserve">Chinese Grid Emission Factor = 0.6205 kg CO2e/kWh</w:t>
      </w:r>
    </w:p>
    <w:p>
      <w:pPr>
        <w:numPr>
          <w:ilvl w:val="0"/>
          <w:numId w:val="1008"/>
        </w:numPr>
        <w:pStyle w:val="Compact"/>
      </w:pPr>
      <w:r>
        <w:rPr>
          <w:bCs/>
          <w:b/>
        </w:rPr>
        <w:t xml:space="preserve">Scope 2 Emissions = 7.5 kWh/unit * 0.6205 kg CO2e/kWh = 4.65 kg CO2e/unit</w:t>
      </w:r>
    </w:p>
    <w:p>
      <w:pPr>
        <w:pStyle w:val="FirstParagraph"/>
      </w:pPr>
      <w:r>
        <w:rPr>
          <w:bCs/>
          <w:b/>
        </w:rPr>
        <w:t xml:space="preserve">Total Scope 2 Emissions: 4.65 kg CO2e</w:t>
      </w:r>
    </w:p>
    <w:bookmarkEnd w:id="37"/>
    <w:bookmarkStart w:id="43" w:name="scope-3-emissions-value-chain"/>
    <w:p>
      <w:pPr>
        <w:pStyle w:val="Heading3"/>
      </w:pPr>
      <w:r>
        <w:t xml:space="preserve">4.3. Scope 3 Emissions (Value Chain)</w:t>
      </w:r>
    </w:p>
    <w:bookmarkStart w:id="38" w:name="X9b3b503244bd9ae636473966351cd103be22b32"/>
    <w:p>
      <w:pPr>
        <w:pStyle w:val="Heading4"/>
      </w:pPr>
      <w:r>
        <w:t xml:space="preserve">4.3.1. Scope 3, Category 1: Upstream Raw Material Acquisition &amp; Processing</w:t>
      </w:r>
    </w:p>
    <w:p>
      <w:pPr>
        <w:pStyle w:val="FirstParagraph"/>
      </w:pPr>
      <w:r>
        <w:t xml:space="preserve">As per the provided BOM, the \'Total Carbon\' for each material directly accounts for these emissions.</w:t>
      </w:r>
    </w:p>
    <w:p>
      <w:pPr>
        <w:numPr>
          <w:ilvl w:val="0"/>
          <w:numId w:val="1009"/>
        </w:numPr>
        <w:pStyle w:val="Compact"/>
      </w:pPr>
      <w:r>
        <w:t xml:space="preserve">Total Material Emissions (from BOM) = 3.45 kg CO2e</w:t>
      </w:r>
    </w:p>
    <w:p>
      <w:pPr>
        <w:pStyle w:val="FirstParagraph"/>
      </w:pPr>
      <w:r>
        <w:rPr>
          <w:bCs/>
          <w:b/>
        </w:rPr>
        <w:t xml:space="preserve">Subtotal Scope 3 (Materials): 3.45 kg CO2e</w:t>
      </w:r>
    </w:p>
    <w:bookmarkEnd w:id="38"/>
    <w:bookmarkStart w:id="39" w:name="X0c46a1a99b25e095689b6b7d33179fb2f4cb54e"/>
    <w:p>
      <w:pPr>
        <w:pStyle w:val="Heading4"/>
      </w:pPr>
      <w:r>
        <w:t xml:space="preserve">4.3.2. Scope 3, Category 4: Upstream Transportation and Distribution</w:t>
      </w:r>
    </w:p>
    <w:p>
      <w:pPr>
        <w:pStyle w:val="FirstParagraph"/>
      </w:pPr>
      <w:r>
        <w:t xml:space="preserve">This covers the transportation of raw materials and components to the manufacturing facility.</w:t>
      </w:r>
    </w:p>
    <w:p>
      <w:pPr>
        <w:numPr>
          <w:ilvl w:val="0"/>
          <w:numId w:val="1010"/>
        </w:numPr>
        <w:pStyle w:val="Compact"/>
      </w:pPr>
      <w:r>
        <w:t xml:space="preserve">Transport Mode: Road Freight (Heavy Goods Vehicle)</w:t>
      </w:r>
    </w:p>
    <w:p>
      <w:pPr>
        <w:numPr>
          <w:ilvl w:val="0"/>
          <w:numId w:val="1010"/>
        </w:numPr>
        <w:pStyle w:val="Compact"/>
      </w:pPr>
      <w:r>
        <w:t xml:space="preserve">Transport Distance: 1000 km</w:t>
      </w:r>
    </w:p>
    <w:p>
      <w:pPr>
        <w:numPr>
          <w:ilvl w:val="0"/>
          <w:numId w:val="1010"/>
        </w:numPr>
        <w:pStyle w:val="Compact"/>
      </w:pPr>
      <w:r>
        <w:t xml:space="preserve">Total Mass of Materials (from BOM) = 0.5 kg (Al) + 0.3 kg (Plastic) + 0.1 kg (Circuit Board) + 0.2 kg (Packaging) = 1.1 kg</w:t>
      </w:r>
    </w:p>
    <w:p>
      <w:pPr>
        <w:numPr>
          <w:ilvl w:val="0"/>
          <w:numId w:val="1010"/>
        </w:numPr>
        <w:pStyle w:val="Compact"/>
      </w:pPr>
      <w:r>
        <w:t xml:space="preserve">Assuming a representative shipment weight to use the tkm factor, e.g., if our 1.1kg unit is part of a larger 5-tonne shipment (5000 kg). The 1.1kg is effectively transported 1000 km.</w:t>
      </w:r>
    </w:p>
    <w:p>
      <w:pPr>
        <w:numPr>
          <w:ilvl w:val="0"/>
          <w:numId w:val="1010"/>
        </w:numPr>
        <w:pStyle w:val="Compact"/>
      </w:pPr>
      <w:r>
        <w:t xml:space="preserve">Activity = 1.1 kg * 1000 km = 1.1 tkm (tonnes * kilometers)</w:t>
      </w:r>
    </w:p>
    <w:p>
      <w:pPr>
        <w:numPr>
          <w:ilvl w:val="0"/>
          <w:numId w:val="1010"/>
        </w:numPr>
        <w:pStyle w:val="Compact"/>
      </w:pPr>
      <w:r>
        <w:t xml:space="preserve">Emission Factor = 0.15 kg CO2e/tkm (Illustrative industry average)</w:t>
      </w:r>
    </w:p>
    <w:p>
      <w:pPr>
        <w:numPr>
          <w:ilvl w:val="0"/>
          <w:numId w:val="1010"/>
        </w:numPr>
        <w:pStyle w:val="Compact"/>
      </w:pPr>
      <w:r>
        <w:rPr>
          <w:bCs/>
          <w:b/>
        </w:rPr>
        <w:t xml:space="preserve">Upstream Transport Emissions = 1.1 tkm * 0.15 kg CO2e/tkm = 0.17 kg CO2e/unit</w:t>
      </w:r>
    </w:p>
    <w:p>
      <w:pPr>
        <w:pStyle w:val="FirstParagraph"/>
      </w:pPr>
      <w:r>
        <w:rPr>
          <w:bCs/>
          <w:b/>
        </w:rPr>
        <w:t xml:space="preserve">Subtotal Scope 3 (Upstream Transport): 0.17 kg CO2e</w:t>
      </w:r>
    </w:p>
    <w:bookmarkEnd w:id="39"/>
    <w:bookmarkStart w:id="40" w:name="Xdd3167f562017f01e1e4cb2f66f6d2fc3f34e8f"/>
    <w:p>
      <w:pPr>
        <w:pStyle w:val="Heading4"/>
      </w:pPr>
      <w:r>
        <w:t xml:space="preserve">4.3.3. Scope 3, Category 9: Downstream Transportation and Distribution (Last-Mile Delivery)</w:t>
      </w:r>
    </w:p>
    <w:p>
      <w:pPr>
        <w:pStyle w:val="FirstParagraph"/>
      </w:pPr>
      <w:r>
        <w:t xml:space="preserve">This covers the last-mile delivery of the finished product to the customer.</w:t>
      </w:r>
    </w:p>
    <w:p>
      <w:pPr>
        <w:numPr>
          <w:ilvl w:val="0"/>
          <w:numId w:val="1011"/>
        </w:numPr>
        <w:pStyle w:val="Compact"/>
      </w:pPr>
      <w:r>
        <w:t xml:space="preserve">Delivery Channel: Parcel Delivery Van</w:t>
      </w:r>
    </w:p>
    <w:p>
      <w:pPr>
        <w:numPr>
          <w:ilvl w:val="0"/>
          <w:numId w:val="1011"/>
        </w:numPr>
        <w:pStyle w:val="Compact"/>
      </w:pPr>
      <w:r>
        <w:t xml:space="preserve">Last-Mile Delivery Distance: 50 km (assumed illustrative)</w:t>
      </w:r>
    </w:p>
    <w:p>
      <w:pPr>
        <w:numPr>
          <w:ilvl w:val="0"/>
          <w:numId w:val="1011"/>
        </w:numPr>
        <w:pStyle w:val="Compact"/>
      </w:pPr>
      <w:r>
        <w:t xml:space="preserve">Emission Factor (Parcel Delivery Van): 0.24934 kg CO2e/km</w:t>
      </w:r>
    </w:p>
    <w:p>
      <w:pPr>
        <w:numPr>
          <w:ilvl w:val="0"/>
          <w:numId w:val="1011"/>
        </w:numPr>
        <w:pStyle w:val="Compact"/>
      </w:pPr>
      <w:r>
        <w:rPr>
          <w:bCs/>
          <w:b/>
        </w:rPr>
        <w:t xml:space="preserve">Last-Mile Delivery Emissions = 50 km * 0.24934 kg CO2e/km = 12.47 kg CO2e/unit</w:t>
      </w:r>
      <w:r>
        <w:t xml:space="preserve"> </w:t>
      </w:r>
      <w:r>
        <w:t xml:space="preserve">(Note: This assumes the entire van\'s emissions for that distance are allocated to one unit, which is a simplification. For actual reports, allocation by weight/volume in a shared delivery would be more precise).</w:t>
      </w:r>
    </w:p>
    <w:p>
      <w:pPr>
        <w:pStyle w:val="FirstParagraph"/>
      </w:pPr>
      <w:r>
        <w:rPr>
          <w:bCs/>
          <w:b/>
        </w:rPr>
        <w:t xml:space="preserve">Subtotal Scope 3 (Downstream Transport): 12.47 kg CO2e</w:t>
      </w:r>
    </w:p>
    <w:bookmarkEnd w:id="40"/>
    <w:bookmarkStart w:id="41" w:name="scope-3-category-11-use-of-sold-products"/>
    <w:p>
      <w:pPr>
        <w:pStyle w:val="Heading4"/>
      </w:pPr>
      <w:r>
        <w:t xml:space="preserve">4.3.4. Scope 3, Category 11: Use of Sold Products</w:t>
      </w:r>
    </w:p>
    <w:p>
      <w:pPr>
        <w:pStyle w:val="FirstParagraph"/>
      </w:pPr>
      <w:r>
        <w:t xml:space="preserve">Emissions from the product\'s energy consumption during its lifespan.</w:t>
      </w:r>
    </w:p>
    <w:p>
      <w:pPr>
        <w:numPr>
          <w:ilvl w:val="0"/>
          <w:numId w:val="1012"/>
        </w:numPr>
        <w:pStyle w:val="Compact"/>
      </w:pPr>
      <w:r>
        <w:t xml:space="preserve">Product Lifespan: 5 years</w:t>
      </w:r>
    </w:p>
    <w:p>
      <w:pPr>
        <w:numPr>
          <w:ilvl w:val="0"/>
          <w:numId w:val="1012"/>
        </w:numPr>
        <w:pStyle w:val="Compact"/>
      </w:pPr>
      <w:r>
        <w:t xml:space="preserve">Energy Consumption in Use: 20 kWh/year</w:t>
      </w:r>
    </w:p>
    <w:p>
      <w:pPr>
        <w:numPr>
          <w:ilvl w:val="0"/>
          <w:numId w:val="1012"/>
        </w:numPr>
        <w:pStyle w:val="Compact"/>
      </w:pPr>
      <w:r>
        <w:t xml:space="preserve">Total Use Phase Energy = 20 kWh/year * 5 years = 100 kWh/unit</w:t>
      </w:r>
    </w:p>
    <w:p>
      <w:pPr>
        <w:numPr>
          <w:ilvl w:val="0"/>
          <w:numId w:val="1012"/>
        </w:numPr>
        <w:pStyle w:val="Compact"/>
      </w:pPr>
      <w:r>
        <w:t xml:space="preserve">European Average Electricity Grid Emission Factor = 0.238 kg CO2e/kWh</w:t>
      </w:r>
    </w:p>
    <w:p>
      <w:pPr>
        <w:numPr>
          <w:ilvl w:val="0"/>
          <w:numId w:val="1012"/>
        </w:numPr>
        <w:pStyle w:val="Compact"/>
      </w:pPr>
      <w:r>
        <w:rPr>
          <w:bCs/>
          <w:b/>
        </w:rPr>
        <w:t xml:space="preserve">Use Phase Emissions = 100 kWh/unit * 0.238 kg CO2e/kWh = 23.80 kg CO2e/unit</w:t>
      </w:r>
    </w:p>
    <w:p>
      <w:pPr>
        <w:pStyle w:val="FirstParagraph"/>
      </w:pPr>
      <w:r>
        <w:rPr>
          <w:bCs/>
          <w:b/>
        </w:rPr>
        <w:t xml:space="preserve">Subtotal Scope 3 (Use Phase): 23.80 kg CO2e</w:t>
      </w:r>
    </w:p>
    <w:bookmarkEnd w:id="41"/>
    <w:bookmarkStart w:id="42" w:name="X8a83d50c0d89d142371b1cb2678444c0262a9c4"/>
    <w:p>
      <w:pPr>
        <w:pStyle w:val="Heading4"/>
      </w:pPr>
      <w:r>
        <w:t xml:space="preserve">4.3.5. Scope 3, Category 12: End-of-Life Treatment of Sold Products</w:t>
      </w:r>
    </w:p>
    <w:p>
      <w:pPr>
        <w:pStyle w:val="FirstParagraph"/>
      </w:pPr>
      <w:r>
        <w:t xml:space="preserve">This category considers the emissions and avoided emissions from the disposal and recycling of the product. The mlqhjnikki has an established take-back program and a high recyclability percentage.</w:t>
      </w:r>
    </w:p>
    <w:p>
      <w:pPr>
        <w:numPr>
          <w:ilvl w:val="0"/>
          <w:numId w:val="1013"/>
        </w:numPr>
        <w:pStyle w:val="Compact"/>
      </w:pPr>
      <w:r>
        <w:t xml:space="preserve">Recyclability Percentage: 70%</w:t>
      </w:r>
    </w:p>
    <w:p>
      <w:pPr>
        <w:numPr>
          <w:ilvl w:val="0"/>
          <w:numId w:val="1013"/>
        </w:numPr>
        <w:pStyle w:val="Compact"/>
      </w:pPr>
      <w:r>
        <w:t xml:space="preserve">Mass of Recyclable Materials (Aluminum and Plastic from BOM): 0.5 kg (Al) + 0.3 kg (Plastic) = 0.8 kg</w:t>
      </w:r>
    </w:p>
    <w:p>
      <w:pPr>
        <w:numPr>
          <w:ilvl w:val="0"/>
          <w:numId w:val="1013"/>
        </w:numPr>
        <w:pStyle w:val="Compact"/>
      </w:pPr>
      <w:r>
        <w:t xml:space="preserve">Recycled Mass = 0.8 kg * 0.70 = 0.56 kg</w:t>
      </w:r>
    </w:p>
    <w:p>
      <w:pPr>
        <w:numPr>
          <w:ilvl w:val="0"/>
          <w:numId w:val="1013"/>
        </w:numPr>
        <w:pStyle w:val="Compact"/>
      </w:pPr>
      <w:r>
        <w:t xml:space="preserve">Assume 0.5 kg Aluminum and 0.06 kg Plastic are recycled from the 0.56 kg (illustrative split based on original proportions).</w:t>
      </w:r>
    </w:p>
    <w:p>
      <w:pPr>
        <w:numPr>
          <w:ilvl w:val="0"/>
          <w:numId w:val="1013"/>
        </w:numPr>
        <w:pStyle w:val="Compact"/>
      </w:pPr>
      <w:r>
        <w:t xml:space="preserve">Avoided Emissions (Aluminum) = 0.5 kg * 12.9 kg CO2e/kg = 6.45 kg CO2e (reduction)</w:t>
      </w:r>
    </w:p>
    <w:p>
      <w:pPr>
        <w:numPr>
          <w:ilvl w:val="0"/>
          <w:numId w:val="1013"/>
        </w:numPr>
        <w:pStyle w:val="Compact"/>
      </w:pPr>
      <w:r>
        <w:t xml:space="preserve">Avoided Emissions (Plastic) = 0.06 kg * 1.2 kg CO2e/kg = 0.07 kg CO2e (reduction)</w:t>
      </w:r>
    </w:p>
    <w:p>
      <w:pPr>
        <w:numPr>
          <w:ilvl w:val="0"/>
          <w:numId w:val="1013"/>
        </w:numPr>
        <w:pStyle w:val="Compact"/>
      </w:pPr>
      <w:r>
        <w:t xml:space="preserve">Total Avoided Emissions from Recycling = - (6.45 + 0.07) kg CO2e = -6.52 kg CO2e/unit</w:t>
      </w:r>
    </w:p>
    <w:p>
      <w:pPr>
        <w:numPr>
          <w:ilvl w:val="0"/>
          <w:numId w:val="1013"/>
        </w:numPr>
        <w:pStyle w:val="Compact"/>
      </w:pPr>
      <w:r>
        <w:t xml:space="preserve">Remaining material (1.1 kg - 0.56 kg = 0.54 kg) assumed to go to landfill or incineration. For simplicity, assume 30% of 1.1 kg = 0.33 kg goes to landfill, with minimal emissions or offset by avoided recycling. Without specific end-of-life treatment emission factors for the remaining 30%, we focus on the avoided emissions from recycling.</w:t>
      </w:r>
    </w:p>
    <w:p>
      <w:pPr>
        <w:pStyle w:val="FirstParagraph"/>
      </w:pPr>
      <w:r>
        <w:rPr>
          <w:bCs/>
          <w:b/>
        </w:rPr>
        <w:t xml:space="preserve">Subtotal Scope 3 (End-of-Life, Net Impact): -6.52 kg CO2e (representing avoided emissions)</w:t>
      </w:r>
    </w:p>
    <w:p>
      <w:r>
        <w:pict>
          <v:rect style="width:0;height:1.5pt" o:hralign="center" o:hrstd="t" o:hr="t"/>
        </w:pict>
      </w:r>
    </w:p>
    <w:bookmarkEnd w:id="42"/>
    <w:bookmarkEnd w:id="43"/>
    <w:bookmarkEnd w:id="44"/>
    <w:bookmarkStart w:id="47" w:name="overall-pcf-calculation-summary"/>
    <w:p>
      <w:pPr>
        <w:pStyle w:val="Heading2"/>
      </w:pPr>
      <w:r>
        <w:t xml:space="preserve">5. Overall PCF Calculation Summary</w:t>
      </w:r>
    </w:p>
    <w:bookmarkStart w:id="45" w:name="total-emissions-by-scope"/>
    <w:p>
      <w:pPr>
        <w:pStyle w:val="Heading3"/>
      </w:pPr>
      <w:r>
        <w:t xml:space="preserve">Total Emissions by Scope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Emissions (kg CO2e/unit)</w:t>
            </w:r>
          </w:p>
        </w:tc>
        <w:tc>
          <w:tcPr/>
          <w:p>
            <w:pPr>
              <w:pStyle w:val="Compact"/>
              <w:jc w:val="left"/>
            </w:pPr>
            <w:r>
              <w:t xml:space="preserve">Percentage of Total</w:t>
            </w:r>
          </w:p>
        </w:tc>
      </w:tr>
      <w:tr>
        <w:tc>
          <w:tcPr/>
          <w:p>
            <w:pPr>
              <w:pStyle w:val="Compact"/>
              <w:jc w:val="left"/>
            </w:pPr>
            <w:r>
              <w:t xml:space="preserve">Scope 1 (Direct Emissions)</w:t>
            </w:r>
          </w:p>
        </w:tc>
        <w:tc>
          <w:tcPr/>
          <w:p>
            <w:pPr>
              <w:pStyle w:val="Compact"/>
              <w:jc w:val="left"/>
            </w:pPr>
            <w:r>
              <w:t xml:space="preserve">0.00</w:t>
            </w:r>
          </w:p>
        </w:tc>
        <w:tc>
          <w:tcPr/>
          <w:p>
            <w:pPr>
              <w:pStyle w:val="Compact"/>
              <w:jc w:val="left"/>
            </w:pPr>
            <w:r>
              <w:t xml:space="preserve">0.0%</w:t>
            </w:r>
          </w:p>
        </w:tc>
      </w:tr>
      <w:tr>
        <w:tc>
          <w:tcPr/>
          <w:p>
            <w:pPr>
              <w:pStyle w:val="Compact"/>
              <w:jc w:val="left"/>
            </w:pPr>
            <w:r>
              <w:t xml:space="preserve">Scope 2 (Purchased Energy)</w:t>
            </w:r>
          </w:p>
        </w:tc>
        <w:tc>
          <w:tcPr/>
          <w:p>
            <w:pPr>
              <w:pStyle w:val="Compact"/>
              <w:jc w:val="left"/>
            </w:pPr>
            <w:r>
              <w:t xml:space="preserve">4.65</w:t>
            </w:r>
          </w:p>
        </w:tc>
        <w:tc>
          <w:tcPr/>
          <w:p>
            <w:pPr>
              <w:pStyle w:val="Compact"/>
              <w:jc w:val="left"/>
            </w:pPr>
            <w:r>
              <w:t xml:space="preserve">10.7%</w:t>
            </w:r>
          </w:p>
        </w:tc>
      </w:tr>
      <w:tr>
        <w:tc>
          <w:tcPr/>
          <w:p>
            <w:pPr>
              <w:pStyle w:val="Compact"/>
              <w:jc w:val="left"/>
            </w:pPr>
            <w:r>
              <w:t xml:space="preserve">Scope 3 (Value Chain)</w:t>
            </w:r>
          </w:p>
        </w:tc>
        <w:tc>
          <w:tcPr/>
          <w:p>
            <w:pPr>
              <w:pStyle w:val="Compact"/>
              <w:jc w:val="left"/>
            </w:pPr>
            <w:r>
              <w:t xml:space="preserve">3.45 (Materials) + 0.17 (Upstream Transport) + 12.47 (Downstream Transport) + 23.80 (Use Phase) - 6.52 (EoL Avoided) = 33.37</w:t>
            </w:r>
          </w:p>
        </w:tc>
        <w:tc>
          <w:tcPr/>
          <w:p>
            <w:pPr>
              <w:pStyle w:val="Compact"/>
              <w:jc w:val="left"/>
            </w:pPr>
            <w:r>
              <w:t xml:space="preserve">89.3%</w:t>
            </w:r>
          </w:p>
        </w:tc>
      </w:tr>
      <w:tr>
        <w:tc>
          <w:tcPr/>
          <w:p>
            <w:pPr>
              <w:pStyle w:val="Compact"/>
              <w:jc w:val="left"/>
            </w:pPr>
            <w:r>
              <w:rPr>
                <w:bCs/>
                <w:b/>
              </w:rPr>
              <w:t xml:space="preserve">TOTAL PCF (Net)</w:t>
            </w:r>
          </w:p>
        </w:tc>
        <w:tc>
          <w:tcPr/>
          <w:p>
            <w:pPr>
              <w:pStyle w:val="Compact"/>
              <w:jc w:val="left"/>
            </w:pPr>
            <w:r>
              <w:rPr>
                <w:bCs/>
                <w:b/>
              </w:rPr>
              <w:t xml:space="preserve">38.02</w:t>
            </w:r>
          </w:p>
        </w:tc>
        <w:tc>
          <w:tcPr/>
          <w:p>
            <w:pPr>
              <w:pStyle w:val="Compact"/>
              <w:jc w:val="left"/>
            </w:pPr>
            <w:r>
              <w:rPr>
                <w:bCs/>
                <w:b/>
              </w:rPr>
              <w:t xml:space="preserve">100.0%</w:t>
            </w:r>
          </w:p>
        </w:tc>
      </w:tr>
    </w:tbl>
    <w:p>
      <w:pPr>
        <w:pStyle w:val="BodyText"/>
      </w:pPr>
      <w:r>
        <w:rPr>
          <w:iCs/>
          <w:i/>
        </w:rPr>
        <w:t xml:space="preserve">Note: The total PCF is calculated as the sum of Scope 1, Scope 2, and the net Scope 3 emissions (including avoided emissions).</w:t>
      </w:r>
    </w:p>
    <w:bookmarkEnd w:id="45"/>
    <w:bookmarkStart w:id="46" w:name="X5fba0eaa5a457128d3764291808976abcf87c09"/>
    <w:p>
      <w:pPr>
        <w:pStyle w:val="Heading3"/>
      </w:pPr>
      <w:r>
        <w:t xml:space="preserve">Detailed PCF Breakdown by Lifecycle Stage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Emissions (kg CO2e/unit)</w:t>
            </w:r>
          </w:p>
        </w:tc>
        <w:tc>
          <w:tcPr/>
          <w:p>
            <w:pPr>
              <w:pStyle w:val="Compact"/>
              <w:jc w:val="left"/>
            </w:pPr>
            <w:r>
              <w:t xml:space="preserve">GHG Scope</w:t>
            </w:r>
          </w:p>
        </w:tc>
        <w:tc>
          <w:tcPr/>
          <w:p>
            <w:pPr>
              <w:pStyle w:val="Compact"/>
              <w:jc w:val="left"/>
            </w:pPr>
            <w:r>
              <w:t xml:space="preserve">Percentage of Total</w:t>
            </w:r>
          </w:p>
        </w:tc>
      </w:tr>
      <w:tr>
        <w:tc>
          <w:tcPr/>
          <w:p>
            <w:pPr>
              <w:pStyle w:val="Compact"/>
              <w:jc w:val="left"/>
            </w:pPr>
            <w:r>
              <w:t xml:space="preserve">Raw Material Acquisition &amp; Processing</w:t>
            </w:r>
          </w:p>
        </w:tc>
        <w:tc>
          <w:tcPr/>
          <w:p>
            <w:pPr>
              <w:pStyle w:val="Compact"/>
              <w:jc w:val="left"/>
            </w:pPr>
            <w:r>
              <w:t xml:space="preserve">3.45</w:t>
            </w:r>
          </w:p>
        </w:tc>
        <w:tc>
          <w:tcPr/>
          <w:p>
            <w:pPr>
              <w:pStyle w:val="Compact"/>
              <w:jc w:val="left"/>
            </w:pPr>
            <w:r>
              <w:t xml:space="preserve">Scope 3, Category 1</w:t>
            </w:r>
          </w:p>
        </w:tc>
        <w:tc>
          <w:tcPr/>
          <w:p>
            <w:pPr>
              <w:pStyle w:val="Compact"/>
              <w:jc w:val="left"/>
            </w:pPr>
            <w:r>
              <w:t xml:space="preserve">9.1%</w:t>
            </w:r>
          </w:p>
        </w:tc>
      </w:tr>
      <w:tr>
        <w:tc>
          <w:tcPr/>
          <w:p>
            <w:pPr>
              <w:pStyle w:val="Compact"/>
              <w:jc w:val="left"/>
            </w:pPr>
            <w:r>
              <w:t xml:space="preserve">Manufacturing (Energy)</w:t>
            </w:r>
          </w:p>
        </w:tc>
        <w:tc>
          <w:tcPr/>
          <w:p>
            <w:pPr>
              <w:pStyle w:val="Compact"/>
              <w:jc w:val="left"/>
            </w:pPr>
            <w:r>
              <w:t xml:space="preserve">4.65</w:t>
            </w:r>
          </w:p>
        </w:tc>
        <w:tc>
          <w:tcPr/>
          <w:p>
            <w:pPr>
              <w:pStyle w:val="Compact"/>
              <w:jc w:val="left"/>
            </w:pPr>
            <w:r>
              <w:t xml:space="preserve">Scope 2</w:t>
            </w:r>
          </w:p>
        </w:tc>
        <w:tc>
          <w:tcPr/>
          <w:p>
            <w:pPr>
              <w:pStyle w:val="Compact"/>
              <w:jc w:val="left"/>
            </w:pPr>
            <w:r>
              <w:t xml:space="preserve">12.2%</w:t>
            </w:r>
          </w:p>
        </w:tc>
      </w:tr>
      <w:tr>
        <w:tc>
          <w:tcPr/>
          <w:p>
            <w:pPr>
              <w:pStyle w:val="Compact"/>
              <w:jc w:val="left"/>
            </w:pPr>
            <w:r>
              <w:t xml:space="preserve">Upstream Transportation</w:t>
            </w:r>
          </w:p>
        </w:tc>
        <w:tc>
          <w:tcPr/>
          <w:p>
            <w:pPr>
              <w:pStyle w:val="Compact"/>
              <w:jc w:val="left"/>
            </w:pPr>
            <w:r>
              <w:t xml:space="preserve">0.17</w:t>
            </w:r>
          </w:p>
        </w:tc>
        <w:tc>
          <w:tcPr/>
          <w:p>
            <w:pPr>
              <w:pStyle w:val="Compact"/>
              <w:jc w:val="left"/>
            </w:pPr>
            <w:r>
              <w:t xml:space="preserve">Scope 3, Category 4</w:t>
            </w:r>
          </w:p>
        </w:tc>
        <w:tc>
          <w:tcPr/>
          <w:p>
            <w:pPr>
              <w:pStyle w:val="Compact"/>
              <w:jc w:val="left"/>
            </w:pPr>
            <w:r>
              <w:t xml:space="preserve">0.4%</w:t>
            </w:r>
          </w:p>
        </w:tc>
      </w:tr>
      <w:tr>
        <w:tc>
          <w:tcPr/>
          <w:p>
            <w:pPr>
              <w:pStyle w:val="Compact"/>
              <w:jc w:val="left"/>
            </w:pPr>
            <w:r>
              <w:t xml:space="preserve">Downstream Transportation (Last-Mile)</w:t>
            </w:r>
          </w:p>
        </w:tc>
        <w:tc>
          <w:tcPr/>
          <w:p>
            <w:pPr>
              <w:pStyle w:val="Compact"/>
              <w:jc w:val="left"/>
            </w:pPr>
            <w:r>
              <w:t xml:space="preserve">12.47</w:t>
            </w:r>
          </w:p>
        </w:tc>
        <w:tc>
          <w:tcPr/>
          <w:p>
            <w:pPr>
              <w:pStyle w:val="Compact"/>
              <w:jc w:val="left"/>
            </w:pPr>
            <w:r>
              <w:t xml:space="preserve">Scope 3, Category 9</w:t>
            </w:r>
          </w:p>
        </w:tc>
        <w:tc>
          <w:tcPr/>
          <w:p>
            <w:pPr>
              <w:pStyle w:val="Compact"/>
              <w:jc w:val="left"/>
            </w:pPr>
            <w:r>
              <w:t xml:space="preserve">32.8%</w:t>
            </w:r>
          </w:p>
        </w:tc>
      </w:tr>
      <w:tr>
        <w:tc>
          <w:tcPr/>
          <w:p>
            <w:pPr>
              <w:pStyle w:val="Compact"/>
              <w:jc w:val="left"/>
            </w:pPr>
            <w:r>
              <w:t xml:space="preserve">Use Phase</w:t>
            </w:r>
          </w:p>
        </w:tc>
        <w:tc>
          <w:tcPr/>
          <w:p>
            <w:pPr>
              <w:pStyle w:val="Compact"/>
              <w:jc w:val="left"/>
            </w:pPr>
            <w:r>
              <w:t xml:space="preserve">23.80</w:t>
            </w:r>
          </w:p>
        </w:tc>
        <w:tc>
          <w:tcPr/>
          <w:p>
            <w:pPr>
              <w:pStyle w:val="Compact"/>
              <w:jc w:val="left"/>
            </w:pPr>
            <w:r>
              <w:t xml:space="preserve">Scope 3, Category 11</w:t>
            </w:r>
          </w:p>
        </w:tc>
        <w:tc>
          <w:tcPr/>
          <w:p>
            <w:pPr>
              <w:pStyle w:val="Compact"/>
              <w:jc w:val="left"/>
            </w:pPr>
            <w:r>
              <w:t xml:space="preserve">62.6%</w:t>
            </w:r>
          </w:p>
        </w:tc>
      </w:tr>
      <w:tr>
        <w:tc>
          <w:tcPr/>
          <w:p>
            <w:pPr>
              <w:pStyle w:val="Compact"/>
              <w:jc w:val="left"/>
            </w:pPr>
            <w:r>
              <w:t xml:space="preserve">End-of-Life (Net Avoided)</w:t>
            </w:r>
          </w:p>
        </w:tc>
        <w:tc>
          <w:tcPr/>
          <w:p>
            <w:pPr>
              <w:pStyle w:val="Compact"/>
              <w:jc w:val="left"/>
            </w:pPr>
            <w:r>
              <w:t xml:space="preserve">-6.52</w:t>
            </w:r>
          </w:p>
        </w:tc>
        <w:tc>
          <w:tcPr/>
          <w:p>
            <w:pPr>
              <w:pStyle w:val="Compact"/>
              <w:jc w:val="left"/>
            </w:pPr>
            <w:r>
              <w:t xml:space="preserve">Scope 3, Category 12</w:t>
            </w:r>
          </w:p>
        </w:tc>
        <w:tc>
          <w:tcPr/>
          <w:p>
            <w:pPr>
              <w:pStyle w:val="Compact"/>
              <w:jc w:val="left"/>
            </w:pPr>
            <w:r>
              <w:t xml:space="preserve">-17.1%</w:t>
            </w:r>
          </w:p>
        </w:tc>
      </w:tr>
      <w:tr>
        <w:tc>
          <w:tcPr/>
          <w:p>
            <w:pPr>
              <w:pStyle w:val="Compact"/>
              <w:jc w:val="left"/>
            </w:pPr>
            <w:r>
              <w:rPr>
                <w:bCs/>
                <w:b/>
              </w:rPr>
              <w:t xml:space="preserve">TOTAL PCF (Net)</w:t>
            </w:r>
          </w:p>
        </w:tc>
        <w:tc>
          <w:tcPr/>
          <w:p>
            <w:pPr>
              <w:pStyle w:val="Compact"/>
              <w:jc w:val="left"/>
            </w:pPr>
            <w:r>
              <w:rPr>
                <w:bCs/>
                <w:b/>
              </w:rPr>
              <w:t xml:space="preserve">38.02</w:t>
            </w:r>
          </w:p>
        </w:tc>
        <w:tc>
          <w:tcPr/>
          <w:p>
            <w:pPr>
              <w:pStyle w:val="Compact"/>
            </w:pPr>
          </w:p>
        </w:tc>
        <w:tc>
          <w:tcPr/>
          <w:p>
            <w:pPr>
              <w:pStyle w:val="Compact"/>
              <w:jc w:val="left"/>
            </w:pPr>
            <w:r>
              <w:rPr>
                <w:bCs/>
                <w:b/>
              </w:rPr>
              <w:t xml:space="preserve">100.0%</w:t>
            </w:r>
          </w:p>
        </w:tc>
      </w:tr>
    </w:tbl>
    <w:p>
      <w:r>
        <w:pict>
          <v:rect style="width:0;height:1.5pt" o:hralign="center" o:hrstd="t" o:hr="t"/>
        </w:pict>
      </w:r>
    </w:p>
    <w:bookmarkEnd w:id="46"/>
    <w:bookmarkEnd w:id="47"/>
    <w:bookmarkStart w:id="52" w:name="review-report"/>
    <w:p>
      <w:pPr>
        <w:pStyle w:val="Heading2"/>
      </w:pPr>
      <w:r>
        <w:t xml:space="preserve">6. Review &amp; Report</w:t>
      </w:r>
    </w:p>
    <w:bookmarkStart w:id="48" w:name="emissions-hotspots"/>
    <w:p>
      <w:pPr>
        <w:pStyle w:val="Heading3"/>
      </w:pPr>
      <w:r>
        <w:t xml:space="preserve">6.1. Emissions Hotspots</w:t>
      </w:r>
    </w:p>
    <w:p>
      <w:pPr>
        <w:pStyle w:val="FirstParagraph"/>
      </w:pPr>
      <w:r>
        <w:t xml:space="preserve">The analysis for nphruldtzg reveals the following key emissions hotspots:</w:t>
      </w:r>
    </w:p>
    <w:p>
      <w:pPr>
        <w:numPr>
          <w:ilvl w:val="0"/>
          <w:numId w:val="1014"/>
        </w:numPr>
        <w:pStyle w:val="Compact"/>
      </w:pPr>
      <w:r>
        <w:rPr>
          <w:bCs/>
          <w:b/>
        </w:rPr>
        <w:t xml:space="preserve">Use Phase (62.6%):</w:t>
      </w:r>
      <w:r>
        <w:t xml:space="preserve"> </w:t>
      </w:r>
      <w:r>
        <w:t xml:space="preserve">The most significant contributor to the product\'s carbon footprint is the energy consumption during its 5-year operational lifespan, largely due to reliance on grid electricity.</w:t>
      </w:r>
    </w:p>
    <w:p>
      <w:pPr>
        <w:numPr>
          <w:ilvl w:val="0"/>
          <w:numId w:val="1014"/>
        </w:numPr>
        <w:pStyle w:val="Compact"/>
      </w:pPr>
      <w:r>
        <w:rPr>
          <w:bCs/>
          <w:b/>
        </w:rPr>
        <w:t xml:space="preserve">Downstream Transportation (32.8%):</w:t>
      </w:r>
      <w:r>
        <w:t xml:space="preserve"> </w:t>
      </w:r>
      <w:r>
        <w:t xml:space="preserve">Last-mile delivery by parcel delivery vans significantly contributes to emissions, highlighting inefficiencies or the carbon intensity of current logistics.</w:t>
      </w:r>
    </w:p>
    <w:p>
      <w:pPr>
        <w:numPr>
          <w:ilvl w:val="0"/>
          <w:numId w:val="1014"/>
        </w:numPr>
        <w:pStyle w:val="Compact"/>
      </w:pPr>
      <w:r>
        <w:rPr>
          <w:bCs/>
          <w:b/>
        </w:rPr>
        <w:t xml:space="preserve">Manufacturing Energy (12.2%):</w:t>
      </w:r>
      <w:r>
        <w:t xml:space="preserve"> </w:t>
      </w:r>
      <w:r>
        <w:t xml:space="preserve">While mlqhjnikki utilizes 50% renewable energy, the remaining grid electricity consumption in China still contributes substantially.</w:t>
      </w:r>
    </w:p>
    <w:p>
      <w:pPr>
        <w:numPr>
          <w:ilvl w:val="0"/>
          <w:numId w:val="1014"/>
        </w:numPr>
        <w:pStyle w:val="Compact"/>
      </w:pPr>
      <w:r>
        <w:rPr>
          <w:bCs/>
          <w:b/>
        </w:rPr>
        <w:t xml:space="preserve">Raw Material Acquisition (9.1%):</w:t>
      </w:r>
      <w:r>
        <w:t xml:space="preserve"> </w:t>
      </w:r>
      <w:r>
        <w:t xml:space="preserve">The embodied carbon in materials, particularly aluminum, is a notable factor.</w:t>
      </w:r>
    </w:p>
    <w:p>
      <w:pPr>
        <w:numPr>
          <w:ilvl w:val="0"/>
          <w:numId w:val="1014"/>
        </w:numPr>
        <w:pStyle w:val="Compact"/>
      </w:pPr>
      <w:r>
        <w:rPr>
          <w:bCs/>
          <w:b/>
        </w:rPr>
        <w:t xml:space="preserve">End-of-Life (-17.1%):</w:t>
      </w:r>
      <w:r>
        <w:t xml:space="preserve"> </w:t>
      </w:r>
      <w:r>
        <w:t xml:space="preserve">The established take-back and recycling programs provide significant avoided emissions, demonstrating the positive impact of circular economy initiatives.</w:t>
      </w:r>
    </w:p>
    <w:bookmarkEnd w:id="48"/>
    <w:bookmarkStart w:id="49" w:name="reliability-statement"/>
    <w:p>
      <w:pPr>
        <w:pStyle w:val="Heading3"/>
      </w:pPr>
      <w:r>
        <w:t xml:space="preserve">6.2. Reliability Statement</w:t>
      </w:r>
    </w:p>
    <w:p>
      <w:pPr>
        <w:pStyle w:val="FirstParagraph"/>
      </w:pPr>
      <w:r>
        <w:t xml:space="preserve">This Product Carbon Footprint analysis for nphruldtzg is based on a combination of specific primary data (BOM \'Total Carbon\', energy intensity, renewable energy usage, lifespan, consumption) and secondary, industry-standard emission factors (e.g., for national electricity grids, transport modes, and recycling benefits). Every effort has been made to adhere to the GHG Protocol\'s principles of relevance, completeness, consistency, transparency, and accuracy. The use of illustrative values for placeholders (e.g., transport distances, last-mile distance, energy consumption values, etc.) means that the absolute figures presented should be considered indicative. For enhanced accuracy, mlqhjnikki is encouraged to collect more specific primary data for transport, detailed energy mixes, and product-specific end-of-life fate.</w:t>
      </w:r>
    </w:p>
    <w:bookmarkEnd w:id="49"/>
    <w:bookmarkStart w:id="51" w:name="recommendations-for-mlqhjnikki"/>
    <w:p>
      <w:pPr>
        <w:pStyle w:val="Heading3"/>
      </w:pPr>
      <w:r>
        <w:t xml:space="preserve">6.3. Recommendations for mlqhjnikki</w:t>
      </w:r>
    </w:p>
    <w:p>
      <w:pPr>
        <w:pStyle w:val="FirstParagraph"/>
      </w:pPr>
      <w:r>
        <w:t xml:space="preserve">Based on this PCF analysis, mlqhjnikki should prioritize the following actions to reduce the carbon footprint of nphruldtzg:</w:t>
      </w:r>
    </w:p>
    <w:p>
      <w:pPr>
        <w:numPr>
          <w:ilvl w:val="0"/>
          <w:numId w:val="1015"/>
        </w:numPr>
        <w:pStyle w:val="Compact"/>
      </w:pPr>
      <w:r>
        <w:rPr>
          <w:bCs/>
          <w:b/>
        </w:rPr>
        <w:t xml:space="preserve">Optimize Use Phase Efficiency:</w:t>
      </w:r>
      <w:r>
        <w:t xml:space="preserve"> </w:t>
      </w:r>
      <w:r>
        <w:t xml:space="preserve">Focus on product design for reduced energy consumption during its lifespan. Explore opportunities for energy-efficient components or alternative power sources if applicable.</w:t>
      </w:r>
    </w:p>
    <w:p>
      <w:pPr>
        <w:numPr>
          <w:ilvl w:val="0"/>
          <w:numId w:val="1015"/>
        </w:numPr>
        <w:pStyle w:val="Compact"/>
      </w:pPr>
      <w:r>
        <w:rPr>
          <w:bCs/>
          <w:b/>
        </w:rPr>
        <w:t xml:space="preserve">Decarbonize Logistics:</w:t>
      </w:r>
      <w:r>
        <w:t xml:space="preserve"> </w:t>
      </w:r>
      <w:r>
        <w:t xml:space="preserve">Investigate lower-emission transport modes for last-mile delivery (e.g., electric vehicles, cargo bikes in urban areas) and optimize routing to reduce distances. Evaluate freight forwarders\' sustainability performance.</w:t>
      </w:r>
    </w:p>
    <w:p>
      <w:pPr>
        <w:numPr>
          <w:ilvl w:val="0"/>
          <w:numId w:val="1015"/>
        </w:numPr>
        <w:pStyle w:val="Compact"/>
      </w:pPr>
      <w:r>
        <w:rPr>
          <w:bCs/>
          <w:b/>
        </w:rPr>
        <w:t xml:space="preserve">Increase Renewable Energy Sourcing:</w:t>
      </w:r>
      <w:r>
        <w:t xml:space="preserve"> </w:t>
      </w:r>
      <w:r>
        <w:t xml:space="preserve">Continue and expand efforts to source 100% renewable electricity for manufacturing operations in China, potentially through power purchase agreements or on-site generation.</w:t>
      </w:r>
    </w:p>
    <w:p>
      <w:pPr>
        <w:numPr>
          <w:ilvl w:val="0"/>
          <w:numId w:val="1015"/>
        </w:numPr>
        <w:pStyle w:val="Compact"/>
      </w:pPr>
      <w:r>
        <w:rPr>
          <w:bCs/>
          <w:b/>
        </w:rPr>
        <w:t xml:space="preserve">Material Optimization:</w:t>
      </w:r>
      <w:r>
        <w:t xml:space="preserve"> </w:t>
      </w:r>
      <w:r>
        <w:t xml:space="preserve">Explore opportunities to use lower-carbon intensity materials or increase the recycled content in components like the aluminum housing and plastic casing, provided it does not compromise product quality or lifespan.</w:t>
      </w:r>
    </w:p>
    <w:p>
      <w:pPr>
        <w:numPr>
          <w:ilvl w:val="0"/>
          <w:numId w:val="1015"/>
        </w:numPr>
        <w:pStyle w:val="Compact"/>
      </w:pPr>
      <w:r>
        <w:rPr>
          <w:bCs/>
          <w:b/>
        </w:rPr>
        <w:t xml:space="preserve">Strengthen Circularity:</w:t>
      </w:r>
      <w:r>
        <w:t xml:space="preserve"> </w:t>
      </w:r>
      <w:r>
        <w:t xml:space="preserve">Continue to promote and expand the existing circular/take-back programs, aiming for higher recyclability rates and exploring options for product refurbishment or remanufacturing to extend lifespan.</w:t>
      </w:r>
    </w:p>
    <w:p>
      <w:pPr>
        <w:numPr>
          <w:ilvl w:val="0"/>
          <w:numId w:val="1015"/>
        </w:numPr>
        <w:pStyle w:val="Compact"/>
      </w:pPr>
      <w:r>
        <w:rPr>
          <w:bCs/>
          <w:b/>
        </w:rPr>
        <w:t xml:space="preserve">Supplier Engagement:</w:t>
      </w:r>
      <w:r>
        <w:t xml:space="preserve"> </w:t>
      </w:r>
      <w:r>
        <w:t xml:space="preserve">Collaborate with suppliers (especially for the circuit board, if specific EFs are not fully known for upstream processes) to gather more granular data and encourage their decarbonization efforts.</w:t>
      </w:r>
    </w:p>
    <w:p>
      <w:r>
        <w:pict>
          <v:rect style="width:0;height:1.5pt" o:hralign="center" o:hrstd="t" o:hr="t"/>
        </w:pict>
      </w:r>
    </w:p>
    <w:p>
      <w:pPr>
        <w:pStyle w:val="FirstParagraph"/>
      </w:pPr>
      <w:r>
        <w:t xml:space="preserve">Confidential - Internal Use Only</w:t>
      </w:r>
    </w:p>
    <w:p>
      <w:pPr>
        <w:pStyle w:val="BodyText"/>
      </w:pPr>
      <w:r>
        <w:t xml:space="preserve">Page</w:t>
      </w:r>
      <w:r>
        <w:t xml:space="preserve"> </w:t>
      </w:r>
      <w:bookmarkStart w:id="50" w:name="pageNumber"/>
      <w:bookmarkEnd w:id="50"/>
    </w:p>
    <w:bookmarkEnd w:id="51"/>
    <w:bookmarkEnd w:id="52"/>
    <w:bookmarkEnd w:id="5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nphruldtzg</dc:title>
  <dc:creator/>
  <dc:description>Detailed Product Carbon Footprint (PCF) analysis report for nphruldtzg, developed by gfxxqufnwh for mlqhjnikki, adhering to GHG Protocol standards and incorporating 2026 LSR update.</dc:description>
  <dc:language>en</dc:language>
  <cp:keywords/>
  <dcterms:created xsi:type="dcterms:W3CDTF">2026-10-16T13:08:51Z</dcterms:created>
  <dcterms:modified xsi:type="dcterms:W3CDTF">2026-10-16T13:08:51Z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