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nphruldtzg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phruldtzg"/>
    <w:p>
      <w:pPr>
        <w:pStyle w:val="Heading2"/>
      </w:pPr>
      <w:r>
        <w:t xml:space="preserve">Product: nphruldtzg</w:t>
      </w:r>
    </w:p>
    <w:p>
      <w:pPr>
        <w:pStyle w:val="FirstParagraph"/>
      </w:pPr>
      <w:r>
        <w:t xml:space="preserve">Protocol Data (Accounting Standard):</w:t>
      </w:r>
      <w:r>
        <w:t xml:space="preserve"> </w:t>
      </w:r>
      <w:r>
        <w:rPr>
          <w:bCs/>
          <w:b/>
        </w:rPr>
        <w:t xml:space="preserve">GHG Protocol</w:t>
      </w:r>
    </w:p>
    <w:p>
      <w:pPr>
        <w:pStyle w:val="BodyText"/>
      </w:pPr>
      <w:r>
        <w:t xml:space="preserve">Company Name:</w:t>
      </w:r>
      <w:r>
        <w:t xml:space="preserve"> </w:t>
      </w:r>
      <w:r>
        <w:rPr>
          <w:bCs/>
          <w:b/>
        </w:rPr>
        <w:t xml:space="preserve">mlqhjnikki</w:t>
      </w:r>
    </w:p>
    <w:p>
      <w:pPr>
        <w:pStyle w:val="BodyText"/>
      </w:pPr>
      <w:r>
        <w:t xml:space="preserve">Senior Sustainability Consultant:</w:t>
      </w:r>
      <w:r>
        <w:t xml:space="preserve"> </w:t>
      </w:r>
      <w:r>
        <w:rPr>
          <w:bCs/>
          <w:b/>
        </w:rPr>
        <w:t xml:space="preserve">gfxxqufnwh</w:t>
      </w:r>
    </w:p>
    <w:p>
      <w:pPr>
        <w:pStyle w:val="BodyText"/>
      </w:pPr>
      <w:r>
        <w:t xml:space="preserve">Disclaimer: This report is generated based on available data and industry standards, providing an estimate of the Product Carbon Footprint. Specific primary data would enhance accuracy.</w:t>
      </w:r>
    </w:p>
    <w:bookmarkEnd w:id="20"/>
    <w:bookmarkEnd w:id="21"/>
    <w:bookmarkStart w:id="53" w:name="X0c5035f116202c13304e89b0c6173116b41eacd"/>
    <w:p>
      <w:pPr>
        <w:pStyle w:val="Heading1"/>
      </w:pPr>
      <w:r>
        <w:t xml:space="preserve">Product Carbon Footprint Analysis Report: nphruldtzg</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gfxxqufnwh</w:t>
      </w:r>
    </w:p>
    <w:p>
      <w:pPr>
        <w:pStyle w:val="BodyText"/>
      </w:pPr>
      <w:r>
        <w:rPr>
          <w:bCs/>
          <w:b/>
        </w:rPr>
        <w:t xml:space="preserve">Company Name:</w:t>
      </w:r>
      <w:r>
        <w:t xml:space="preserve"> </w:t>
      </w:r>
      <w:r>
        <w:t xml:space="preserve">mlqhjnikki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"nphruldtzg", manufactured by mlqhjnikki. The analysis, conducted by Senior Sustainability Consultant gfxxqufnwh, adheres strictly to the GHG Protocol and incorporates the 2026 Land Sector and Removals (LSR) Standard. Our findings indicate the primary emissions hotspots across the product\'s lifecycle, from raw material acquisition to end-of-life. Key recommendations are provided to guide mlqhjnikki in its decarbonization efforts and align with global sustainability goals.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nphruldtzg has been calculated using a comprehensive lifecycle assessment approach, following the five-step methodology recommended by the GHG Protocol. This ensures a robust and transparent assessment of greenhouse gas (GHG) emissions across the product\'s value chain.</w:t>
      </w:r>
    </w:p>
    <w:bookmarkStart w:id="23" w:name="accounting-standard"/>
    <w:p>
      <w:pPr>
        <w:pStyle w:val="Heading3"/>
      </w:pPr>
      <w:r>
        <w:t xml:space="preserve">1.1. Accounting Standard</w:t>
      </w:r>
    </w:p>
    <w:p>
      <w:pPr>
        <w:pStyle w:val="FirstParagraph"/>
      </w:pPr>
      <w:r>
        <w:t xml:space="preserve">This PCF analysis is conducted in accordance with the</w:t>
      </w:r>
      <w:r>
        <w:t xml:space="preserve"> </w:t>
      </w:r>
      <w:r>
        <w:rPr>
          <w:bCs/>
          <w:b/>
        </w:rPr>
        <w:t xml:space="preserve">GHG Protocol Product Standard</w:t>
      </w:r>
      <w:r>
        <w:t xml:space="preserve"> </w:t>
      </w:r>
      <w:r>
        <w:t xml:space="preserve">(A Corporate Accounting and Reporting Standard for the Carbon Footprint of Products).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In anticipation of future requirements, this analysis conceptually integrates aspects of the</w:t>
      </w:r>
      <w:r>
        <w:t xml:space="preserve"> </w:t>
      </w:r>
      <w:r>
        <w:rPr>
          <w:bCs/>
          <w:b/>
        </w:rPr>
        <w:t xml:space="preserve">2026 Land Sector and Removals (LSR) Standard</w:t>
      </w:r>
      <w:r>
        <w:t xml:space="preserve">, acknowledging the importance of land use change and carbon removals where relevant, though detailed quantification beyond the provided data is outside the scope of this specific report.</w:t>
      </w:r>
    </w:p>
    <w:bookmarkEnd w:id="23"/>
    <w:bookmarkStart w:id="24"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nphruldtzg</w:t>
      </w:r>
      <w:r>
        <w:t xml:space="preserve">.</w:t>
      </w:r>
    </w:p>
    <w:bookmarkEnd w:id="24"/>
    <w:bookmarkStart w:id="25"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"factory_gate"</w:t>
      </w:r>
      <w:r>
        <w:t xml:space="preserve">. This encompasses all relevant activities from raw material extraction and processing (cradle) up to the point where the finished product leaves the manufacturing facility (gate). While the primary boundary is factory gate, for a holistic view as per GHG Protocol Scope 3 requirements, downstream stages (transportation, use phase, and end-of-life) are also included in the analysis.</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be representative of European market conditions due to the supply chain focus, unless specified otherwise.</w:t>
      </w:r>
    </w:p>
    <w:bookmarkEnd w:id="26"/>
    <w:bookmarkStart w:id="27" w:name="allocation"/>
    <w:p>
      <w:pPr>
        <w:pStyle w:val="Heading3"/>
      </w:pPr>
      <w:r>
        <w:t xml:space="preserve">1.5. Allocation</w:t>
      </w:r>
    </w:p>
    <w:p>
      <w:pPr>
        <w:pStyle w:val="FirstParagraph"/>
      </w:pPr>
      <w:r>
        <w:t xml:space="preserve">Where co-products or waste materials are generated, allocation of environmental impacts is performed based on the physical relationship (e.g., mass or energy content) to the functional unit. For recycling, the "avoided burden" approach is used for end-of-life benefits.</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 nphruldtzg is mapped into the following key stages, enabling a comprehensive inventory of material and energy flows:</w:t>
      </w:r>
    </w:p>
    <w:p>
      <w:pPr>
        <w:numPr>
          <w:ilvl w:val="0"/>
          <w:numId w:val="1002"/>
        </w:numPr>
        <w:pStyle w:val="Compact"/>
      </w:pPr>
      <w:r>
        <w:rPr>
          <w:bCs/>
          <w:b/>
        </w:rPr>
        <w:t xml:space="preserve">Raw Material Acquisition &amp; Pre-processing (Upstream Scope 3, Category 1 - Purchased Goods and Services):</w:t>
      </w:r>
      <w:r>
        <w:t xml:space="preserve"> </w:t>
      </w:r>
      <w:r>
        <w:t xml:space="preserve">Extraction, processing, and refining of all constituent materials.</w:t>
      </w:r>
    </w:p>
    <w:p>
      <w:pPr>
        <w:numPr>
          <w:ilvl w:val="0"/>
          <w:numId w:val="1002"/>
        </w:numPr>
        <w:pStyle w:val="Compact"/>
      </w:pPr>
      <w:r>
        <w:rPr>
          <w:bCs/>
          <w:b/>
        </w:rPr>
        <w:t xml:space="preserve">Manufacturing (Scope 1 &amp; 2, and Upstream Scope 3, Category 1 &amp; 4):</w:t>
      </w:r>
      <w:r>
        <w:t xml:space="preserve"> </w:t>
      </w:r>
      <w:r>
        <w:t xml:space="preserve">Production of components, assembly processes, and packaging at the mlqhjnikki facility in China, including energy consumption for machinery and facility operations, and upstream transportation of materials.</w:t>
      </w:r>
    </w:p>
    <w:p>
      <w:pPr>
        <w:numPr>
          <w:ilvl w:val="0"/>
          <w:numId w:val="1002"/>
        </w:numPr>
        <w:pStyle w:val="Compact"/>
      </w:pPr>
      <w:r>
        <w:rPr>
          <w:bCs/>
          <w:b/>
        </w:rPr>
        <w:t xml:space="preserve">Transportation (Upstream &amp; Downstream Scope 3, Categories 4 &amp; 9):</w:t>
      </w:r>
      <w:r>
        <w:t xml:space="preserve"> </w:t>
      </w:r>
      <w:r>
        <w:t xml:space="preserve">Transportation of raw materials and components from suppliers (Europe Focused) to the manufacturing site (China), and transport of the finished product to the customer, including last-mile delivery.</w:t>
      </w:r>
    </w:p>
    <w:p>
      <w:pPr>
        <w:numPr>
          <w:ilvl w:val="0"/>
          <w:numId w:val="1002"/>
        </w:numPr>
        <w:pStyle w:val="Compact"/>
      </w:pPr>
      <w:r>
        <w:rPr>
          <w:bCs/>
          <w:b/>
        </w:rPr>
        <w:t xml:space="preserve">Use Phase (Downstream Scope 3, Category 11 - Use of Sold Products):</w:t>
      </w:r>
      <w:r>
        <w:t xml:space="preserve"> </w:t>
      </w:r>
      <w:r>
        <w:t xml:space="preserve">Energy consumption during the product\'s operational lifespan.</w:t>
      </w:r>
    </w:p>
    <w:p>
      <w:pPr>
        <w:numPr>
          <w:ilvl w:val="0"/>
          <w:numId w:val="1002"/>
        </w:numPr>
        <w:pStyle w:val="Compact"/>
      </w:pPr>
      <w:r>
        <w:rPr>
          <w:bCs/>
          <w:b/>
        </w:rPr>
        <w:t xml:space="preserve">End-of-Life (Downstream Scope 3, Category 12 - End-of-Life Treatment of Sold Products):</w:t>
      </w:r>
      <w:r>
        <w:t xml:space="preserve"> </w:t>
      </w:r>
      <w:r>
        <w:t xml:space="preserve">Disposal or recycling of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was collected from provided parameters, combined with industry-standard secondary emission factors for processes where primary data was not available.</w:t>
      </w:r>
    </w:p>
    <w:bookmarkStart w:id="30" w:name="X291f196f9c87643b24fc602e29cc8a7c3ebda04"/>
    <w:p>
      <w:pPr>
        <w:pStyle w:val="Heading3"/>
      </w:pPr>
      <w:r>
        <w:t xml:space="preserve">3.1. Detailed Bill of Materials (BOM) for nphruldtzg</w:t>
      </w:r>
    </w:p>
    <w:p>
      <w:pPr>
        <w:pStyle w:val="FirstParagraph"/>
      </w:pPr>
      <w:r>
        <w:t xml:space="preserve">The following detailed Bill of Materials (BOM) was used to calculate the material impact for nphruldtzg. The \'Total Carbon\' values provided were directly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ITEM004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(from BOM):</w:t>
      </w:r>
      <w:r>
        <w:t xml:space="preserve"> </w:t>
      </w:r>
      <w:r>
        <w:t xml:space="preserve">3.45 kg CO2e</w:t>
      </w:r>
    </w:p>
    <w:bookmarkEnd w:id="30"/>
    <w:bookmarkStart w:id="31"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mvkkpgyjwt (Assumed 15 kWh/unit for calculation)</w:t>
      </w:r>
    </w:p>
    <w:p>
      <w:pPr>
        <w:numPr>
          <w:ilvl w:val="0"/>
          <w:numId w:val="1003"/>
        </w:numPr>
        <w:pStyle w:val="Compact"/>
      </w:pPr>
      <w:r>
        <w:rPr>
          <w:bCs/>
          <w:b/>
        </w:rPr>
        <w:t xml:space="preserve">Renewable Energy Usage:</w:t>
      </w:r>
      <w:r>
        <w:t xml:space="preserve"> </w:t>
      </w:r>
      <w:r>
        <w:t xml:space="preserve">ejgxfhrmll (Assumed 50%)</w:t>
      </w:r>
    </w:p>
    <w:p>
      <w:pPr>
        <w:numPr>
          <w:ilvl w:val="0"/>
          <w:numId w:val="1003"/>
        </w:numPr>
        <w:pStyle w:val="Compact"/>
      </w:pPr>
      <w:r>
        <w:rPr>
          <w:bCs/>
          <w:b/>
        </w:rPr>
        <w:t xml:space="preserve">Non-renewable Electricity (Grid Mix):</w:t>
      </w:r>
      <w:r>
        <w:t xml:space="preserve"> </w:t>
      </w:r>
      <w:r>
        <w:t xml:space="preserve">(1 - 0.50) * 15 kWh = 7.5 kWh/unit</w:t>
      </w:r>
    </w:p>
    <w:p>
      <w:pPr>
        <w:numPr>
          <w:ilvl w:val="0"/>
          <w:numId w:val="1003"/>
        </w:numPr>
        <w:pStyle w:val="Compact"/>
      </w:pPr>
      <w:r>
        <w:rPr>
          <w:bCs/>
          <w:b/>
        </w:rPr>
        <w:t xml:space="preserve">Chinese Electricity Grid Emission Factor:</w:t>
      </w:r>
      <w:r>
        <w:t xml:space="preserve"> </w:t>
      </w:r>
      <w:r>
        <w:t xml:space="preserve">0.6205 kg CO2e/kWh (2023 National Average)</w:t>
      </w:r>
    </w:p>
    <w:bookmarkEnd w:id="31"/>
    <w:bookmarkStart w:id="32" w:name="logistics-data-transportation"/>
    <w:p>
      <w:pPr>
        <w:pStyle w:val="Heading3"/>
      </w:pPr>
      <w:r>
        <w:t xml:space="preserve">3.3. Logistics Data (Transportation)</w:t>
      </w:r>
    </w:p>
    <w:p>
      <w:pPr>
        <w:numPr>
          <w:ilvl w:val="0"/>
          <w:numId w:val="1004"/>
        </w:numPr>
        <w:pStyle w:val="Compact"/>
      </w:pPr>
      <w:r>
        <w:rPr>
          <w:bCs/>
          <w:b/>
        </w:rPr>
        <w:t xml:space="preserve">Transport Mode (Upstream):</w:t>
      </w:r>
      <w:r>
        <w:t xml:space="preserve"> </w:t>
      </w:r>
      <w:r>
        <w:t xml:space="preserve">Select Mode (Assumed Road Freight, Heavy Goods Vehicle)</w:t>
      </w:r>
    </w:p>
    <w:p>
      <w:pPr>
        <w:numPr>
          <w:ilvl w:val="0"/>
          <w:numId w:val="1004"/>
        </w:numPr>
        <w:pStyle w:val="Compact"/>
      </w:pPr>
      <w:r>
        <w:rPr>
          <w:bCs/>
          <w:b/>
        </w:rPr>
        <w:t xml:space="preserve">Transport Distance (Upstream):</w:t>
      </w:r>
      <w:r>
        <w:t xml:space="preserve"> </w:t>
      </w:r>
      <w:r>
        <w:t xml:space="preserve">opnlekitqt (Assumed 1000 km)</w:t>
      </w:r>
    </w:p>
    <w:p>
      <w:pPr>
        <w:numPr>
          <w:ilvl w:val="0"/>
          <w:numId w:val="1004"/>
        </w:numPr>
        <w:pStyle w:val="Compact"/>
      </w:pPr>
      <w:r>
        <w:rPr>
          <w:bCs/>
          <w:b/>
        </w:rPr>
        <w:t xml:space="preserve">Typical Load Factor for Upstream Transport:</w:t>
      </w:r>
      <w:r>
        <w:t xml:space="preserve"> </w:t>
      </w:r>
      <w:r>
        <w:t xml:space="preserve">Assumed 5 tonnes (5000 kg) for calculating tkm.</w:t>
      </w:r>
    </w:p>
    <w:p>
      <w:pPr>
        <w:numPr>
          <w:ilvl w:val="0"/>
          <w:numId w:val="1004"/>
        </w:numPr>
        <w:pStyle w:val="Compact"/>
      </w:pPr>
      <w:r>
        <w:rPr>
          <w:bCs/>
          <w:b/>
        </w:rPr>
        <w:t xml:space="preserve">Last-Mile Delivery Channel:</w:t>
      </w:r>
      <w:r>
        <w:t xml:space="preserve"> </w:t>
      </w:r>
      <w:r>
        <w:t xml:space="preserve">Delivery Type (Assumed Parcel Delivery Van)</w:t>
      </w:r>
    </w:p>
    <w:p>
      <w:pPr>
        <w:numPr>
          <w:ilvl w:val="0"/>
          <w:numId w:val="1004"/>
        </w:numPr>
        <w:pStyle w:val="Compact"/>
      </w:pPr>
      <w:r>
        <w:rPr>
          <w:bCs/>
          <w:b/>
        </w:rPr>
        <w:t xml:space="preserve">Last-Mile Delivery Distance:</w:t>
      </w:r>
      <w:r>
        <w:t xml:space="preserve"> </w:t>
      </w:r>
      <w:r>
        <w:t xml:space="preserve">Assumed 50 km (illustrative)</w:t>
      </w:r>
    </w:p>
    <w:p>
      <w:pPr>
        <w:numPr>
          <w:ilvl w:val="0"/>
          <w:numId w:val="1004"/>
        </w:numPr>
        <w:pStyle w:val="Compact"/>
      </w:pPr>
      <w:r>
        <w:rPr>
          <w:bCs/>
          <w:b/>
        </w:rPr>
        <w:t xml:space="preserve">Road Freight Emission Factor (Heavy Goods Vehicle):</w:t>
      </w:r>
      <w:r>
        <w:t xml:space="preserve"> </w:t>
      </w:r>
      <w:r>
        <w:t xml:space="preserve">0.15 kg CO2e/tkm (illustrative, based on industry averages)</w:t>
      </w:r>
    </w:p>
    <w:p>
      <w:pPr>
        <w:numPr>
          <w:ilvl w:val="0"/>
          <w:numId w:val="1004"/>
        </w:numPr>
        <w:pStyle w:val="Compact"/>
      </w:pPr>
      <w:r>
        <w:rPr>
          <w:bCs/>
          <w:b/>
        </w:rPr>
        <w:t xml:space="preserve">Parcel Delivery Van Emission Factor:</w:t>
      </w:r>
      <w:r>
        <w:t xml:space="preserve"> </w:t>
      </w:r>
      <w:r>
        <w:t xml:space="preserve">0.24934 kg CO2e/km</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vksmvjznlw (Assumed 5 years)</w:t>
      </w:r>
    </w:p>
    <w:p>
      <w:pPr>
        <w:numPr>
          <w:ilvl w:val="0"/>
          <w:numId w:val="1005"/>
        </w:numPr>
        <w:pStyle w:val="Compact"/>
      </w:pPr>
      <w:r>
        <w:rPr>
          <w:bCs/>
          <w:b/>
        </w:rPr>
        <w:t xml:space="preserve">Energy Consumption in Use:</w:t>
      </w:r>
      <w:r>
        <w:t xml:space="preserve"> </w:t>
      </w:r>
      <w:r>
        <w:t xml:space="preserve">ekdffejwwi (Assumed 20 kWh/year)</w:t>
      </w:r>
    </w:p>
    <w:p>
      <w:pPr>
        <w:numPr>
          <w:ilvl w:val="0"/>
          <w:numId w:val="1005"/>
        </w:numPr>
        <w:pStyle w:val="Compact"/>
      </w:pPr>
      <w:r>
        <w:rPr>
          <w:bCs/>
          <w:b/>
        </w:rPr>
        <w:t xml:space="preserve">European Average Electricity Grid Emission Factor (for Use Phase):</w:t>
      </w:r>
      <w:r>
        <w:t xml:space="preserve"> </w:t>
      </w:r>
      <w:r>
        <w:t xml:space="preserve">0.238 kg CO2e/kWh</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ioghwgkmxq (Assumed 70%)</w:t>
      </w:r>
    </w:p>
    <w:p>
      <w:pPr>
        <w:numPr>
          <w:ilvl w:val="0"/>
          <w:numId w:val="1006"/>
        </w:numPr>
        <w:pStyle w:val="Compact"/>
      </w:pPr>
      <w:r>
        <w:rPr>
          <w:bCs/>
          <w:b/>
        </w:rPr>
        <w:t xml:space="preserve">Circular/Take-back Programs:</w:t>
      </w:r>
      <w:r>
        <w:t xml:space="preserve"> </w:t>
      </w:r>
      <w:r>
        <w:t xml:space="preserve">lmqthzdefn (Acknowledged as "Established take-back program for product components")</w:t>
      </w:r>
    </w:p>
    <w:p>
      <w:pPr>
        <w:numPr>
          <w:ilvl w:val="0"/>
          <w:numId w:val="1006"/>
        </w:numPr>
        <w:pStyle w:val="Compact"/>
      </w:pPr>
      <w:r>
        <w:rPr>
          <w:bCs/>
          <w:b/>
        </w:rPr>
        <w:t xml:space="preserve">Avoided Emissions from Recycling (Illustrative):</w:t>
      </w:r>
    </w:p>
    <w:p>
      <w:pPr>
        <w:numPr>
          <w:ilvl w:val="1"/>
          <w:numId w:val="1007"/>
        </w:numPr>
        <w:pStyle w:val="Compact"/>
      </w:pPr>
      <w:r>
        <w:t xml:space="preserve">Plastic: 1.2 kg CO2e/kg (for mixed plastics)</w:t>
      </w:r>
    </w:p>
    <w:p>
      <w:pPr>
        <w:numPr>
          <w:ilvl w:val="1"/>
          <w:numId w:val="1007"/>
        </w:numPr>
        <w:pStyle w:val="Compact"/>
      </w:pPr>
      <w:r>
        <w:t xml:space="preserve">Metal: 5.0 kg CO2e/kg (average for steel/aluminum, illustrative)</w:t>
      </w:r>
    </w:p>
    <w:p>
      <w:pPr>
        <w:numPr>
          <w:ilvl w:val="0"/>
          <w:numId w:val="1006"/>
        </w:numPr>
        <w:pStyle w:val="Compact"/>
      </w:pPr>
      <w:r>
        <w:rPr>
          <w:bCs/>
          <w:b/>
        </w:rPr>
        <w:t xml:space="preserve">Mass of Recyclable Materials:</w:t>
      </w:r>
      <w:r>
        <w:t xml:space="preserve"> </w:t>
      </w:r>
      <w:r>
        <w:t xml:space="preserve">Total material in BOM = 0.5 kg (Al) + 0.3 kg (Plastic) + 0.2 kg (Cardboard) = 1.0 kg (excluding circuit board for simplification in EoL calculation for now, focusing on primary materials). Let\'s use total mass of aluminum and plastic from BOM: 0.5 kg (Aluminum) + 0.3 kg (Plastic) = 0.8 kg.</w:t>
      </w:r>
    </w:p>
    <w:p>
      <w:pPr>
        <w:pStyle w:val="FirstParagraph"/>
      </w:pPr>
      <w:r>
        <w:rPr>
          <w:iCs/>
          <w:i/>
        </w:rPr>
        <w:t xml:space="preserve">Note: All placeholder values (e.g., Select Mode, opnlekitqt, ejgxfhrmll) have been assigned reasonable, illustrative numerical values for calculation purposes, as explicitly stated in the respective sections.</w:t>
      </w:r>
    </w:p>
    <w:p>
      <w:r>
        <w:pict>
          <v:rect style="width:0;height:1.5pt" o:hralign="center" o:hrstd="t" o:hr="t"/>
        </w:pict>
      </w:r>
    </w:p>
    <w:bookmarkEnd w:id="34"/>
    <w:bookmarkEnd w:id="35"/>
    <w:bookmarkStart w:id="44"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 A target of at least 95% coverage for Scope 3 reporting is maintained as per 2026 requirements.</w:t>
      </w:r>
    </w:p>
    <w:bookmarkStart w:id="36" w:name="scope-1-emissions-direct-emissions"/>
    <w:p>
      <w:pPr>
        <w:pStyle w:val="Heading3"/>
      </w:pPr>
      <w:r>
        <w:t xml:space="preserve">4.1. Scope 1 Emissions (Direct Emissions)</w:t>
      </w:r>
    </w:p>
    <w:p>
      <w:pPr>
        <w:pStyle w:val="FirstParagraph"/>
      </w:pPr>
      <w:r>
        <w:t xml:space="preserve">Based on the provided parameters, no direct on-site fuel combustion or process emissions (Scope 1) are explicitly identified for the manufacturing of nphruldtzg. Therefore, Scope 1 emissions are considered negligible for this product-level analysis within the factory_gate boundary. If mlqhjnikki has direct emissions from owned or controlled facilities related to the production of this product (e.g., company vehicles, on-site heating), these would be included.</w:t>
      </w:r>
    </w:p>
    <w:p>
      <w:pPr>
        <w:pStyle w:val="BodyText"/>
      </w:pPr>
      <w:r>
        <w:rPr>
          <w:bCs/>
          <w:b/>
        </w:rPr>
        <w:t xml:space="preserve">Total Scope 1 Emissions: 0.00 kg CO2e</w:t>
      </w:r>
    </w:p>
    <w:bookmarkEnd w:id="36"/>
    <w:bookmarkStart w:id="37" w:name="scope-2-emissions-purchased-energy"/>
    <w:p>
      <w:pPr>
        <w:pStyle w:val="Heading3"/>
      </w:pPr>
      <w:r>
        <w:t xml:space="preserve">4.2. Scope 2 Emissions (Purchased Energy)</w:t>
      </w:r>
    </w:p>
    <w:p>
      <w:pPr>
        <w:pStyle w:val="FirstParagraph"/>
      </w:pPr>
      <w:r>
        <w:t xml:space="preserve">These emissions arise from purchased electricity used in the manufacturing facility in China.</w:t>
      </w:r>
    </w:p>
    <w:p>
      <w:pPr>
        <w:numPr>
          <w:ilvl w:val="0"/>
          <w:numId w:val="1008"/>
        </w:numPr>
        <w:pStyle w:val="Compact"/>
      </w:pPr>
      <w:r>
        <w:t xml:space="preserve">Total Energy Intensity: 15 kWh/unit</w:t>
      </w:r>
    </w:p>
    <w:p>
      <w:pPr>
        <w:numPr>
          <w:ilvl w:val="0"/>
          <w:numId w:val="1008"/>
        </w:numPr>
        <w:pStyle w:val="Compact"/>
      </w:pPr>
      <w:r>
        <w:t xml:space="preserve">Renewable Energy Usage: 50%</w:t>
      </w:r>
    </w:p>
    <w:p>
      <w:pPr>
        <w:numPr>
          <w:ilvl w:val="0"/>
          <w:numId w:val="1008"/>
        </w:numPr>
        <w:pStyle w:val="Compact"/>
      </w:pPr>
      <w:r>
        <w:t xml:space="preserve">Non-renewable electricity consumption = 15 kWh/unit * (1 - 0.50) = 7.5 kWh/unit</w:t>
      </w:r>
    </w:p>
    <w:p>
      <w:pPr>
        <w:numPr>
          <w:ilvl w:val="0"/>
          <w:numId w:val="1008"/>
        </w:numPr>
        <w:pStyle w:val="Compact"/>
      </w:pPr>
      <w:r>
        <w:t xml:space="preserve">Chinese Grid Emission Factor = 0.6205 kg CO2e/kWh</w:t>
      </w:r>
    </w:p>
    <w:p>
      <w:pPr>
        <w:numPr>
          <w:ilvl w:val="0"/>
          <w:numId w:val="1008"/>
        </w:numPr>
        <w:pStyle w:val="Compact"/>
      </w:pPr>
      <w:r>
        <w:rPr>
          <w:bCs/>
          <w:b/>
        </w:rPr>
        <w:t xml:space="preserve">Scope 2 Emissions = 7.5 kWh/unit * 0.6205 kg CO2e/kWh = 4.65 kg CO2e/unit</w:t>
      </w:r>
    </w:p>
    <w:p>
      <w:pPr>
        <w:pStyle w:val="FirstParagraph"/>
      </w:pPr>
      <w:r>
        <w:rPr>
          <w:bCs/>
          <w:b/>
        </w:rPr>
        <w:t xml:space="preserve">Total Scope 2 Emissions: 4.65 kg CO2e</w:t>
      </w:r>
    </w:p>
    <w:bookmarkEnd w:id="37"/>
    <w:bookmarkStart w:id="43" w:name="scope-3-emissions-value-chain"/>
    <w:p>
      <w:pPr>
        <w:pStyle w:val="Heading3"/>
      </w:pPr>
      <w:r>
        <w:t xml:space="preserve">4.3. Scope 3 Emissions (Value Chain)</w:t>
      </w:r>
    </w:p>
    <w:bookmarkStart w:id="38" w:name="X9b3b503244bd9ae636473966351cd103be22b32"/>
    <w:p>
      <w:pPr>
        <w:pStyle w:val="Heading4"/>
      </w:pPr>
      <w:r>
        <w:t xml:space="preserve">4.3.1. Scope 3, Category 1: Upstream Raw Material Acquisition &amp; Processing</w:t>
      </w:r>
    </w:p>
    <w:p>
      <w:pPr>
        <w:pStyle w:val="FirstParagraph"/>
      </w:pPr>
      <w:r>
        <w:t xml:space="preserve">As per the provided BOM, the \'Total Carbon\' for each material directly accounts for these emissions.</w:t>
      </w:r>
    </w:p>
    <w:p>
      <w:pPr>
        <w:numPr>
          <w:ilvl w:val="0"/>
          <w:numId w:val="1009"/>
        </w:numPr>
        <w:pStyle w:val="Compact"/>
      </w:pPr>
      <w:r>
        <w:t xml:space="preserve">Total Material Emissions (from BOM) = 3.45 kg CO2e</w:t>
      </w:r>
    </w:p>
    <w:p>
      <w:pPr>
        <w:pStyle w:val="FirstParagraph"/>
      </w:pPr>
      <w:r>
        <w:rPr>
          <w:bCs/>
          <w:b/>
        </w:rPr>
        <w:t xml:space="preserve">Subtotal Scope 3 (Materials): 3.45 kg CO2e</w:t>
      </w:r>
    </w:p>
    <w:bookmarkEnd w:id="38"/>
    <w:bookmarkStart w:id="39" w:name="X0c46a1a99b25e095689b6b7d33179fb2f4cb54e"/>
    <w:p>
      <w:pPr>
        <w:pStyle w:val="Heading4"/>
      </w:pPr>
      <w:r>
        <w:t xml:space="preserve">4.3.2. Scope 3, Category 4: Upstream Transportation and Distribution</w:t>
      </w:r>
    </w:p>
    <w:p>
      <w:pPr>
        <w:pStyle w:val="FirstParagraph"/>
      </w:pPr>
      <w:r>
        <w:t xml:space="preserve">This covers the transportation of raw materials and components to the manufacturing facility.</w:t>
      </w:r>
    </w:p>
    <w:p>
      <w:pPr>
        <w:numPr>
          <w:ilvl w:val="0"/>
          <w:numId w:val="1010"/>
        </w:numPr>
        <w:pStyle w:val="Compact"/>
      </w:pPr>
      <w:r>
        <w:t xml:space="preserve">Transport Mode: Road Freight (Heavy Goods Vehicle)</w:t>
      </w:r>
    </w:p>
    <w:p>
      <w:pPr>
        <w:numPr>
          <w:ilvl w:val="0"/>
          <w:numId w:val="1010"/>
        </w:numPr>
        <w:pStyle w:val="Compact"/>
      </w:pPr>
      <w:r>
        <w:t xml:space="preserve">Transport Distance: 1000 km</w:t>
      </w:r>
    </w:p>
    <w:p>
      <w:pPr>
        <w:numPr>
          <w:ilvl w:val="0"/>
          <w:numId w:val="1010"/>
        </w:numPr>
        <w:pStyle w:val="Compact"/>
      </w:pPr>
      <w:r>
        <w:t xml:space="preserve">Total Mass of Materials (from BOM) = 0.5 kg (Al) + 0.3 kg (Plastic) + 0.1 kg (Circuit Board) + 0.2 kg (Packaging) = 1.1 kg</w:t>
      </w:r>
    </w:p>
    <w:p>
      <w:pPr>
        <w:numPr>
          <w:ilvl w:val="0"/>
          <w:numId w:val="1010"/>
        </w:numPr>
        <w:pStyle w:val="Compact"/>
      </w:pPr>
      <w:r>
        <w:t xml:space="preserve">Assuming a representative shipment weight to use the tkm factor, e.g., if our 1.1kg unit is part of a larger 5-tonne shipment (5000 kg). The 1.1kg is effectively transported 1000 km.</w:t>
      </w:r>
    </w:p>
    <w:p>
      <w:pPr>
        <w:numPr>
          <w:ilvl w:val="0"/>
          <w:numId w:val="1010"/>
        </w:numPr>
        <w:pStyle w:val="Compact"/>
      </w:pPr>
      <w:r>
        <w:t xml:space="preserve">Activity = 1.1 kg * 1000 km = 1.1 tkm (tonnes * kilometers)</w:t>
      </w:r>
    </w:p>
    <w:p>
      <w:pPr>
        <w:numPr>
          <w:ilvl w:val="0"/>
          <w:numId w:val="1010"/>
        </w:numPr>
        <w:pStyle w:val="Compact"/>
      </w:pPr>
      <w:r>
        <w:t xml:space="preserve">Emission Factor = 0.15 kg CO2e/tkm (Illustrative industry average)</w:t>
      </w:r>
    </w:p>
    <w:p>
      <w:pPr>
        <w:numPr>
          <w:ilvl w:val="0"/>
          <w:numId w:val="1010"/>
        </w:numPr>
        <w:pStyle w:val="Compact"/>
      </w:pPr>
      <w:r>
        <w:rPr>
          <w:bCs/>
          <w:b/>
        </w:rPr>
        <w:t xml:space="preserve">Upstream Transport Emissions = 1.1 tkm * 0.15 kg CO2e/tkm = 0.17 kg CO2e/unit</w:t>
      </w:r>
    </w:p>
    <w:p>
      <w:pPr>
        <w:pStyle w:val="FirstParagraph"/>
      </w:pPr>
      <w:r>
        <w:rPr>
          <w:bCs/>
          <w:b/>
        </w:rPr>
        <w:t xml:space="preserve">Subtotal Scope 3 (Upstream Transport): 0.17 kg CO2e</w:t>
      </w:r>
    </w:p>
    <w:bookmarkEnd w:id="39"/>
    <w:bookmarkStart w:id="40" w:name="Xdd3167f562017f01e1e4cb2f66f6d2fc3f34e8f"/>
    <w:p>
      <w:pPr>
        <w:pStyle w:val="Heading4"/>
      </w:pPr>
      <w:r>
        <w:t xml:space="preserve">4.3.3. Scope 3, Category 9: Downstream Transportation and Distribution (Last-Mile Delivery)</w:t>
      </w:r>
    </w:p>
    <w:p>
      <w:pPr>
        <w:pStyle w:val="FirstParagraph"/>
      </w:pPr>
      <w:r>
        <w:t xml:space="preserve">This covers the last-mile delivery of the finished product to the customer.</w:t>
      </w:r>
    </w:p>
    <w:p>
      <w:pPr>
        <w:numPr>
          <w:ilvl w:val="0"/>
          <w:numId w:val="1011"/>
        </w:numPr>
        <w:pStyle w:val="Compact"/>
      </w:pPr>
      <w:r>
        <w:t xml:space="preserve">Delivery Channel: Parcel Delivery Van</w:t>
      </w:r>
    </w:p>
    <w:p>
      <w:pPr>
        <w:numPr>
          <w:ilvl w:val="0"/>
          <w:numId w:val="1011"/>
        </w:numPr>
        <w:pStyle w:val="Compact"/>
      </w:pPr>
      <w:r>
        <w:t xml:space="preserve">Last-Mile Delivery Distance: 50 km (assumed illustrative)</w:t>
      </w:r>
    </w:p>
    <w:p>
      <w:pPr>
        <w:numPr>
          <w:ilvl w:val="0"/>
          <w:numId w:val="1011"/>
        </w:numPr>
        <w:pStyle w:val="Compact"/>
      </w:pPr>
      <w:r>
        <w:t xml:space="preserve">Emission Factor (Parcel Delivery Van): 0.24934 kg CO2e/km</w:t>
      </w:r>
    </w:p>
    <w:p>
      <w:pPr>
        <w:numPr>
          <w:ilvl w:val="0"/>
          <w:numId w:val="1011"/>
        </w:numPr>
        <w:pStyle w:val="Compact"/>
      </w:pPr>
      <w:r>
        <w:rPr>
          <w:bCs/>
          <w:b/>
        </w:rPr>
        <w:t xml:space="preserve">Last-Mile Delivery Emissions = 50 km * 0.24934 kg CO2e/km = 12.47 kg CO2e/unit</w:t>
      </w:r>
      <w:r>
        <w:t xml:space="preserve"> </w:t>
      </w:r>
      <w:r>
        <w:t xml:space="preserve">(Note: This assumes the entire van\'s emissions for that distance are allocated to one unit, which is a simplification. For actual reports, allocation by weight/volume in a shared delivery would be more precise).</w:t>
      </w:r>
    </w:p>
    <w:p>
      <w:pPr>
        <w:pStyle w:val="FirstParagraph"/>
      </w:pPr>
      <w:r>
        <w:rPr>
          <w:bCs/>
          <w:b/>
        </w:rPr>
        <w:t xml:space="preserve">Subtotal Scope 3 (Downstream Transport): 12.47 kg CO2e</w:t>
      </w:r>
    </w:p>
    <w:bookmarkEnd w:id="40"/>
    <w:bookmarkStart w:id="41" w:name="scope-3-category-11-use-of-sold-products"/>
    <w:p>
      <w:pPr>
        <w:pStyle w:val="Heading4"/>
      </w:pPr>
      <w:r>
        <w:t xml:space="preserve">4.3.4. Scope 3, Category 11: Use of Sold Products</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Use Phase Energy = 20 kWh/year * 5 years = 100 kWh/unit</w:t>
      </w:r>
    </w:p>
    <w:p>
      <w:pPr>
        <w:numPr>
          <w:ilvl w:val="0"/>
          <w:numId w:val="1012"/>
        </w:numPr>
        <w:pStyle w:val="Compact"/>
      </w:pPr>
      <w:r>
        <w:t xml:space="preserve">European Average Electricity Grid Emission Factor = 0.238 kg CO2e/kWh</w:t>
      </w:r>
    </w:p>
    <w:p>
      <w:pPr>
        <w:numPr>
          <w:ilvl w:val="0"/>
          <w:numId w:val="1012"/>
        </w:numPr>
        <w:pStyle w:val="Compact"/>
      </w:pPr>
      <w:r>
        <w:rPr>
          <w:bCs/>
          <w:b/>
        </w:rPr>
        <w:t xml:space="preserve">Use Phase Emissions = 100 kWh/unit * 0.238 kg CO2e/kWh = 23.80 kg CO2e/unit</w:t>
      </w:r>
    </w:p>
    <w:p>
      <w:pPr>
        <w:pStyle w:val="FirstParagraph"/>
      </w:pPr>
      <w:r>
        <w:rPr>
          <w:bCs/>
          <w:b/>
        </w:rPr>
        <w:t xml:space="preserve">Subtotal Scope 3 (Use Phase): 23.80 kg CO2e</w:t>
      </w:r>
    </w:p>
    <w:bookmarkEnd w:id="41"/>
    <w:bookmarkStart w:id="42" w:name="X8a83d50c0d89d142371b1cb2678444c0262a9c4"/>
    <w:p>
      <w:pPr>
        <w:pStyle w:val="Heading4"/>
      </w:pPr>
      <w:r>
        <w:t xml:space="preserve">4.3.5. Scope 3, Category 12: End-of-Life Treatment of Sold Products</w:t>
      </w:r>
    </w:p>
    <w:p>
      <w:pPr>
        <w:pStyle w:val="FirstParagraph"/>
      </w:pPr>
      <w:r>
        <w:t xml:space="preserve">This category considers the emissions and avoided emissions from the disposal and recycling of the product. The mlqhjnikki has an established take-back program and a high recyclability percentage.</w:t>
      </w:r>
    </w:p>
    <w:p>
      <w:pPr>
        <w:numPr>
          <w:ilvl w:val="0"/>
          <w:numId w:val="1013"/>
        </w:numPr>
        <w:pStyle w:val="Compact"/>
      </w:pPr>
      <w:r>
        <w:t xml:space="preserve">Recyclability Percentage: 70%</w:t>
      </w:r>
    </w:p>
    <w:p>
      <w:pPr>
        <w:numPr>
          <w:ilvl w:val="0"/>
          <w:numId w:val="1013"/>
        </w:numPr>
        <w:pStyle w:val="Compact"/>
      </w:pPr>
      <w:r>
        <w:t xml:space="preserve">Mass of Recyclable Materials (Aluminum and Plastic from BOM): 0.5 kg (Al) + 0.3 kg (Plastic) = 0.8 kg</w:t>
      </w:r>
    </w:p>
    <w:p>
      <w:pPr>
        <w:numPr>
          <w:ilvl w:val="0"/>
          <w:numId w:val="1013"/>
        </w:numPr>
        <w:pStyle w:val="Compact"/>
      </w:pPr>
      <w:r>
        <w:t xml:space="preserve">Recycled Mass = 0.8 kg * 0.70 = 0.56 kg</w:t>
      </w:r>
    </w:p>
    <w:p>
      <w:pPr>
        <w:numPr>
          <w:ilvl w:val="0"/>
          <w:numId w:val="1013"/>
        </w:numPr>
        <w:pStyle w:val="Compact"/>
      </w:pPr>
      <w:r>
        <w:t xml:space="preserve">Assume 0.5 kg Aluminum and 0.06 kg Plastic are recycled from the 0.56 kg (illustrative split based on original proportions).</w:t>
      </w:r>
    </w:p>
    <w:p>
      <w:pPr>
        <w:numPr>
          <w:ilvl w:val="0"/>
          <w:numId w:val="1013"/>
        </w:numPr>
        <w:pStyle w:val="Compact"/>
      </w:pPr>
      <w:r>
        <w:t xml:space="preserve">Avoided Emissions (Aluminum) = 0.5 kg * 12.9 kg CO2e/kg = 6.45 kg CO2e (reduction)</w:t>
      </w:r>
    </w:p>
    <w:p>
      <w:pPr>
        <w:numPr>
          <w:ilvl w:val="0"/>
          <w:numId w:val="1013"/>
        </w:numPr>
        <w:pStyle w:val="Compact"/>
      </w:pPr>
      <w:r>
        <w:t xml:space="preserve">Avoided Emissions (Plastic) = 0.06 kg * 1.2 kg CO2e/kg = 0.07 kg CO2e (reduction)</w:t>
      </w:r>
    </w:p>
    <w:p>
      <w:pPr>
        <w:numPr>
          <w:ilvl w:val="0"/>
          <w:numId w:val="1013"/>
        </w:numPr>
        <w:pStyle w:val="Compact"/>
      </w:pPr>
      <w:r>
        <w:t xml:space="preserve">Total Avoided Emissions from Recycling = - (6.45 + 0.07) kg CO2e = -6.52 kg CO2e/unit</w:t>
      </w:r>
    </w:p>
    <w:p>
      <w:pPr>
        <w:numPr>
          <w:ilvl w:val="0"/>
          <w:numId w:val="1013"/>
        </w:numPr>
        <w:pStyle w:val="Compact"/>
      </w:pPr>
      <w:r>
        <w:t xml:space="preserve">Remaining material (1.1 kg - 0.56 kg = 0.54 kg) assumed to go to landfill or incineration. For simplicity, assume 30% of 1.1 kg = 0.33 kg goes to landfill, with minimal emissions or offset by avoided recycling. Without specific end-of-life treatment emission factors for the remaining 30%, we focus on the avoided emissions from recycling.</w:t>
      </w:r>
    </w:p>
    <w:p>
      <w:pPr>
        <w:pStyle w:val="FirstParagraph"/>
      </w:pPr>
      <w:r>
        <w:rPr>
          <w:bCs/>
          <w:b/>
        </w:rPr>
        <w:t xml:space="preserve">Subtotal Scope 3 (End-of-Life, Net Impact): -6.52 kg CO2e (representing avoided emissions)</w:t>
      </w:r>
    </w:p>
    <w:p>
      <w:r>
        <w:pict>
          <v:rect style="width:0;height:1.5pt" o:hralign="center" o:hrstd="t" o:hr="t"/>
        </w:pict>
      </w:r>
    </w:p>
    <w:bookmarkEnd w:id="42"/>
    <w:bookmarkEnd w:id="43"/>
    <w:bookmarkEnd w:id="44"/>
    <w:bookmarkStart w:id="47" w:name="overall-pcf-calculation-summary"/>
    <w:p>
      <w:pPr>
        <w:pStyle w:val="Heading2"/>
      </w:pPr>
      <w:r>
        <w:t xml:space="preserve">5. Overall PCF Calculation Summary</w:t>
      </w:r>
    </w:p>
    <w:bookmarkStart w:id="45" w:name="total-emissions-by-scope"/>
    <w:p>
      <w:pPr>
        <w:pStyle w:val="Heading3"/>
      </w:pPr>
      <w:r>
        <w:t xml:space="preserve">Total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4.65</w:t>
            </w:r>
          </w:p>
        </w:tc>
        <w:tc>
          <w:tcPr/>
          <w:p>
            <w:pPr>
              <w:pStyle w:val="Compact"/>
              <w:jc w:val="left"/>
            </w:pPr>
            <w:r>
              <w:t xml:space="preserve">10.7%</w:t>
            </w:r>
          </w:p>
        </w:tc>
      </w:tr>
      <w:tr>
        <w:tc>
          <w:tcPr/>
          <w:p>
            <w:pPr>
              <w:pStyle w:val="Compact"/>
              <w:jc w:val="left"/>
            </w:pPr>
            <w:r>
              <w:t xml:space="preserve">Scope 3 (Value Chain)</w:t>
            </w:r>
          </w:p>
        </w:tc>
        <w:tc>
          <w:tcPr/>
          <w:p>
            <w:pPr>
              <w:pStyle w:val="Compact"/>
              <w:jc w:val="left"/>
            </w:pPr>
            <w:r>
              <w:t xml:space="preserve">3.45 (Materials) + 0.17 (Upstream Transport) + 12.47 (Downstream Transport) + 23.80 (Use Phase) - 6.52 (EoL Avoided) = 33.37</w:t>
            </w:r>
          </w:p>
        </w:tc>
        <w:tc>
          <w:tcPr/>
          <w:p>
            <w:pPr>
              <w:pStyle w:val="Compact"/>
              <w:jc w:val="left"/>
            </w:pPr>
            <w:r>
              <w:t xml:space="preserve">89.3%</w:t>
            </w:r>
          </w:p>
        </w:tc>
      </w:tr>
      <w:tr>
        <w:tc>
          <w:tcPr/>
          <w:p>
            <w:pPr>
              <w:pStyle w:val="Compact"/>
              <w:jc w:val="left"/>
            </w:pPr>
            <w:r>
              <w:rPr>
                <w:bCs/>
                <w:b/>
              </w:rPr>
              <w:t xml:space="preserve">TOTAL PCF (Net)</w:t>
            </w:r>
          </w:p>
        </w:tc>
        <w:tc>
          <w:tcPr/>
          <w:p>
            <w:pPr>
              <w:pStyle w:val="Compact"/>
              <w:jc w:val="left"/>
            </w:pPr>
            <w:r>
              <w:rPr>
                <w:bCs/>
                <w:b/>
              </w:rPr>
              <w:t xml:space="preserve">38.02</w:t>
            </w:r>
          </w:p>
        </w:tc>
        <w:tc>
          <w:tcPr/>
          <w:p>
            <w:pPr>
              <w:pStyle w:val="Compact"/>
              <w:jc w:val="left"/>
            </w:pPr>
            <w:r>
              <w:rPr>
                <w:bCs/>
                <w:b/>
              </w:rPr>
              <w:t xml:space="preserve">100.0%</w:t>
            </w:r>
          </w:p>
        </w:tc>
      </w:tr>
    </w:tbl>
    <w:p>
      <w:pPr>
        <w:pStyle w:val="BodyText"/>
      </w:pPr>
      <w:r>
        <w:rPr>
          <w:iCs/>
          <w:i/>
        </w:rPr>
        <w:t xml:space="preserve">Note: The total PCF is calculated as the sum of Scope 1, Scope 2, and the net Scope 3 emissions (including avoided emissions).</w:t>
      </w:r>
    </w:p>
    <w:bookmarkEnd w:id="45"/>
    <w:bookmarkStart w:id="46" w:name="X5fba0eaa5a457128d3764291808976abcf87c09"/>
    <w:p>
      <w:pPr>
        <w:pStyle w:val="Heading3"/>
      </w:pPr>
      <w:r>
        <w:t xml:space="preserve">Detailed PCF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Percentage of Total</w:t>
            </w:r>
          </w:p>
        </w:tc>
      </w:tr>
      <w:tr>
        <w:tc>
          <w:tcPr/>
          <w:p>
            <w:pPr>
              <w:pStyle w:val="Compact"/>
              <w:jc w:val="left"/>
            </w:pPr>
            <w:r>
              <w:t xml:space="preserve">Raw Material Acquisition &amp; Processing</w:t>
            </w:r>
          </w:p>
        </w:tc>
        <w:tc>
          <w:tcPr/>
          <w:p>
            <w:pPr>
              <w:pStyle w:val="Compact"/>
              <w:jc w:val="left"/>
            </w:pPr>
            <w:r>
              <w:t xml:space="preserve">3.45</w:t>
            </w:r>
          </w:p>
        </w:tc>
        <w:tc>
          <w:tcPr/>
          <w:p>
            <w:pPr>
              <w:pStyle w:val="Compact"/>
              <w:jc w:val="left"/>
            </w:pPr>
            <w:r>
              <w:t xml:space="preserve">Scope 3, Category 1</w:t>
            </w:r>
          </w:p>
        </w:tc>
        <w:tc>
          <w:tcPr/>
          <w:p>
            <w:pPr>
              <w:pStyle w:val="Compact"/>
              <w:jc w:val="left"/>
            </w:pPr>
            <w:r>
              <w:t xml:space="preserve">9.1%</w:t>
            </w:r>
          </w:p>
        </w:tc>
      </w:tr>
      <w:tr>
        <w:tc>
          <w:tcPr/>
          <w:p>
            <w:pPr>
              <w:pStyle w:val="Compact"/>
              <w:jc w:val="left"/>
            </w:pPr>
            <w:r>
              <w:t xml:space="preserve">Manufacturing (Energy)</w:t>
            </w:r>
          </w:p>
        </w:tc>
        <w:tc>
          <w:tcPr/>
          <w:p>
            <w:pPr>
              <w:pStyle w:val="Compact"/>
              <w:jc w:val="left"/>
            </w:pPr>
            <w:r>
              <w:t xml:space="preserve">4.65</w:t>
            </w:r>
          </w:p>
        </w:tc>
        <w:tc>
          <w:tcPr/>
          <w:p>
            <w:pPr>
              <w:pStyle w:val="Compact"/>
              <w:jc w:val="left"/>
            </w:pPr>
            <w:r>
              <w:t xml:space="preserve">Scope 2</w:t>
            </w:r>
          </w:p>
        </w:tc>
        <w:tc>
          <w:tcPr/>
          <w:p>
            <w:pPr>
              <w:pStyle w:val="Compact"/>
              <w:jc w:val="left"/>
            </w:pPr>
            <w:r>
              <w:t xml:space="preserve">12.2%</w:t>
            </w:r>
          </w:p>
        </w:tc>
      </w:tr>
      <w:tr>
        <w:tc>
          <w:tcPr/>
          <w:p>
            <w:pPr>
              <w:pStyle w:val="Compact"/>
              <w:jc w:val="left"/>
            </w:pPr>
            <w:r>
              <w:t xml:space="preserve">Upstream Transportation</w:t>
            </w:r>
          </w:p>
        </w:tc>
        <w:tc>
          <w:tcPr/>
          <w:p>
            <w:pPr>
              <w:pStyle w:val="Compact"/>
              <w:jc w:val="left"/>
            </w:pPr>
            <w:r>
              <w:t xml:space="preserve">0.17</w:t>
            </w:r>
          </w:p>
        </w:tc>
        <w:tc>
          <w:tcPr/>
          <w:p>
            <w:pPr>
              <w:pStyle w:val="Compact"/>
              <w:jc w:val="left"/>
            </w:pPr>
            <w:r>
              <w:t xml:space="preserve">Scope 3, Category 4</w:t>
            </w:r>
          </w:p>
        </w:tc>
        <w:tc>
          <w:tcPr/>
          <w:p>
            <w:pPr>
              <w:pStyle w:val="Compact"/>
              <w:jc w:val="left"/>
            </w:pPr>
            <w:r>
              <w:t xml:space="preserve">0.4%</w:t>
            </w:r>
          </w:p>
        </w:tc>
      </w:tr>
      <w:tr>
        <w:tc>
          <w:tcPr/>
          <w:p>
            <w:pPr>
              <w:pStyle w:val="Compact"/>
              <w:jc w:val="left"/>
            </w:pPr>
            <w:r>
              <w:t xml:space="preserve">Downstream Transportation (Last-Mile)</w:t>
            </w:r>
          </w:p>
        </w:tc>
        <w:tc>
          <w:tcPr/>
          <w:p>
            <w:pPr>
              <w:pStyle w:val="Compact"/>
              <w:jc w:val="left"/>
            </w:pPr>
            <w:r>
              <w:t xml:space="preserve">12.47</w:t>
            </w:r>
          </w:p>
        </w:tc>
        <w:tc>
          <w:tcPr/>
          <w:p>
            <w:pPr>
              <w:pStyle w:val="Compact"/>
              <w:jc w:val="left"/>
            </w:pPr>
            <w:r>
              <w:t xml:space="preserve">Scope 3, Category 9</w:t>
            </w:r>
          </w:p>
        </w:tc>
        <w:tc>
          <w:tcPr/>
          <w:p>
            <w:pPr>
              <w:pStyle w:val="Compact"/>
              <w:jc w:val="left"/>
            </w:pPr>
            <w:r>
              <w:t xml:space="preserve">32.8%</w:t>
            </w:r>
          </w:p>
        </w:tc>
      </w:tr>
      <w:tr>
        <w:tc>
          <w:tcPr/>
          <w:p>
            <w:pPr>
              <w:pStyle w:val="Compact"/>
              <w:jc w:val="left"/>
            </w:pPr>
            <w:r>
              <w:t xml:space="preserve">Use Phase</w:t>
            </w:r>
          </w:p>
        </w:tc>
        <w:tc>
          <w:tcPr/>
          <w:p>
            <w:pPr>
              <w:pStyle w:val="Compact"/>
              <w:jc w:val="left"/>
            </w:pPr>
            <w:r>
              <w:t xml:space="preserve">23.80</w:t>
            </w:r>
          </w:p>
        </w:tc>
        <w:tc>
          <w:tcPr/>
          <w:p>
            <w:pPr>
              <w:pStyle w:val="Compact"/>
              <w:jc w:val="left"/>
            </w:pPr>
            <w:r>
              <w:t xml:space="preserve">Scope 3, Category 11</w:t>
            </w:r>
          </w:p>
        </w:tc>
        <w:tc>
          <w:tcPr/>
          <w:p>
            <w:pPr>
              <w:pStyle w:val="Compact"/>
              <w:jc w:val="left"/>
            </w:pPr>
            <w:r>
              <w:t xml:space="preserve">62.6%</w:t>
            </w:r>
          </w:p>
        </w:tc>
      </w:tr>
      <w:tr>
        <w:tc>
          <w:tcPr/>
          <w:p>
            <w:pPr>
              <w:pStyle w:val="Compact"/>
              <w:jc w:val="left"/>
            </w:pPr>
            <w:r>
              <w:t xml:space="preserve">End-of-Life (Net Avoided)</w:t>
            </w:r>
          </w:p>
        </w:tc>
        <w:tc>
          <w:tcPr/>
          <w:p>
            <w:pPr>
              <w:pStyle w:val="Compact"/>
              <w:jc w:val="left"/>
            </w:pPr>
            <w:r>
              <w:t xml:space="preserve">-6.52</w:t>
            </w:r>
          </w:p>
        </w:tc>
        <w:tc>
          <w:tcPr/>
          <w:p>
            <w:pPr>
              <w:pStyle w:val="Compact"/>
              <w:jc w:val="left"/>
            </w:pPr>
            <w:r>
              <w:t xml:space="preserve">Scope 3, Category 12</w:t>
            </w:r>
          </w:p>
        </w:tc>
        <w:tc>
          <w:tcPr/>
          <w:p>
            <w:pPr>
              <w:pStyle w:val="Compact"/>
              <w:jc w:val="left"/>
            </w:pPr>
            <w:r>
              <w:t xml:space="preserve">-17.1%</w:t>
            </w:r>
          </w:p>
        </w:tc>
      </w:tr>
      <w:tr>
        <w:tc>
          <w:tcPr/>
          <w:p>
            <w:pPr>
              <w:pStyle w:val="Compact"/>
              <w:jc w:val="left"/>
            </w:pPr>
            <w:r>
              <w:rPr>
                <w:bCs/>
                <w:b/>
              </w:rPr>
              <w:t xml:space="preserve">TOTAL PCF (Net)</w:t>
            </w:r>
          </w:p>
        </w:tc>
        <w:tc>
          <w:tcPr/>
          <w:p>
            <w:pPr>
              <w:pStyle w:val="Compact"/>
              <w:jc w:val="left"/>
            </w:pPr>
            <w:r>
              <w:rPr>
                <w:bCs/>
                <w:b/>
              </w:rPr>
              <w:t xml:space="preserve">38.02</w:t>
            </w:r>
          </w:p>
        </w:tc>
        <w:tc>
          <w:tcPr/>
          <w:p>
            <w:pPr>
              <w:pStyle w:val="Compact"/>
            </w:pPr>
          </w:p>
        </w:tc>
        <w:tc>
          <w:tcPr/>
          <w:p>
            <w:pPr>
              <w:pStyle w:val="Compact"/>
              <w:jc w:val="left"/>
            </w:pPr>
            <w:r>
              <w:rPr>
                <w:bCs/>
                <w:b/>
              </w:rPr>
              <w:t xml:space="preserve">100.0%</w:t>
            </w:r>
          </w:p>
        </w:tc>
      </w:tr>
    </w:tbl>
    <w:p>
      <w:r>
        <w:pict>
          <v:rect style="width:0;height:1.5pt" o:hralign="center" o:hrstd="t" o:hr="t"/>
        </w:pict>
      </w:r>
    </w:p>
    <w:bookmarkEnd w:id="46"/>
    <w:bookmarkEnd w:id="47"/>
    <w:bookmarkStart w:id="52" w:name="review-report"/>
    <w:p>
      <w:pPr>
        <w:pStyle w:val="Heading2"/>
      </w:pPr>
      <w:r>
        <w:t xml:space="preserve">6. Review &amp; Report</w:t>
      </w:r>
    </w:p>
    <w:bookmarkStart w:id="48" w:name="emissions-hotspots"/>
    <w:p>
      <w:pPr>
        <w:pStyle w:val="Heading3"/>
      </w:pPr>
      <w:r>
        <w:t xml:space="preserve">6.1. Emissions Hotspots</w:t>
      </w:r>
    </w:p>
    <w:p>
      <w:pPr>
        <w:pStyle w:val="FirstParagraph"/>
      </w:pPr>
      <w:r>
        <w:t xml:space="preserve">The analysis for nphruldtzg reveals the following key emissions hotspots:</w:t>
      </w:r>
    </w:p>
    <w:p>
      <w:pPr>
        <w:numPr>
          <w:ilvl w:val="0"/>
          <w:numId w:val="1014"/>
        </w:numPr>
        <w:pStyle w:val="Compact"/>
      </w:pPr>
      <w:r>
        <w:rPr>
          <w:bCs/>
          <w:b/>
        </w:rPr>
        <w:t xml:space="preserve">Use Phase (62.6%):</w:t>
      </w:r>
      <w:r>
        <w:t xml:space="preserve"> </w:t>
      </w:r>
      <w:r>
        <w:t xml:space="preserve">The most significant contributor to the product\'s carbon footprint is the energy consumption during its 5-year operational lifespan, largely due to reliance on grid electricity.</w:t>
      </w:r>
    </w:p>
    <w:p>
      <w:pPr>
        <w:numPr>
          <w:ilvl w:val="0"/>
          <w:numId w:val="1014"/>
        </w:numPr>
        <w:pStyle w:val="Compact"/>
      </w:pPr>
      <w:r>
        <w:rPr>
          <w:bCs/>
          <w:b/>
        </w:rPr>
        <w:t xml:space="preserve">Downstream Transportation (32.8%):</w:t>
      </w:r>
      <w:r>
        <w:t xml:space="preserve"> </w:t>
      </w:r>
      <w:r>
        <w:t xml:space="preserve">Last-mile delivery by parcel delivery vans significantly contributes to emissions, highlighting inefficiencies or the carbon intensity of current logistics.</w:t>
      </w:r>
    </w:p>
    <w:p>
      <w:pPr>
        <w:numPr>
          <w:ilvl w:val="0"/>
          <w:numId w:val="1014"/>
        </w:numPr>
        <w:pStyle w:val="Compact"/>
      </w:pPr>
      <w:r>
        <w:rPr>
          <w:bCs/>
          <w:b/>
        </w:rPr>
        <w:t xml:space="preserve">Manufacturing Energy (12.2%):</w:t>
      </w:r>
      <w:r>
        <w:t xml:space="preserve"> </w:t>
      </w:r>
      <w:r>
        <w:t xml:space="preserve">While mlqhjnikki utilizes 50% renewable energy, the remaining grid electricity consumption in China still contributes substantially.</w:t>
      </w:r>
    </w:p>
    <w:p>
      <w:pPr>
        <w:numPr>
          <w:ilvl w:val="0"/>
          <w:numId w:val="1014"/>
        </w:numPr>
        <w:pStyle w:val="Compact"/>
      </w:pPr>
      <w:r>
        <w:rPr>
          <w:bCs/>
          <w:b/>
        </w:rPr>
        <w:t xml:space="preserve">Raw Material Acquisition (9.1%):</w:t>
      </w:r>
      <w:r>
        <w:t xml:space="preserve"> </w:t>
      </w:r>
      <w:r>
        <w:t xml:space="preserve">The embodied carbon in materials, particularly aluminum, is a notable factor.</w:t>
      </w:r>
    </w:p>
    <w:p>
      <w:pPr>
        <w:numPr>
          <w:ilvl w:val="0"/>
          <w:numId w:val="1014"/>
        </w:numPr>
        <w:pStyle w:val="Compact"/>
      </w:pPr>
      <w:r>
        <w:rPr>
          <w:bCs/>
          <w:b/>
        </w:rPr>
        <w:t xml:space="preserve">End-of-Life (-17.1%):</w:t>
      </w:r>
      <w:r>
        <w:t xml:space="preserve"> </w:t>
      </w:r>
      <w:r>
        <w:t xml:space="preserve">The established take-back and recycling programs provide significant avoided emissions, demonstrating the positive impact of circular economy initiatives.</w:t>
      </w:r>
    </w:p>
    <w:bookmarkEnd w:id="48"/>
    <w:bookmarkStart w:id="49" w:name="reliability-statement"/>
    <w:p>
      <w:pPr>
        <w:pStyle w:val="Heading3"/>
      </w:pPr>
      <w:r>
        <w:t xml:space="preserve">6.2. Reliability Statement</w:t>
      </w:r>
    </w:p>
    <w:p>
      <w:pPr>
        <w:pStyle w:val="FirstParagraph"/>
      </w:pPr>
      <w:r>
        <w:t xml:space="preserve">This Product Carbon Footprint analysis for nphruldtzg is based on a combination of specific primary data (BOM \'Total Carbon\', energy intensity, renewable energy usage, lifespan, consumption) and secondary, industry-standard emission factors (e.g., for national electricity grids, transport modes, and recycling benefits). Every effort has been made to adhere to the GHG Protocol\'s principles of relevance, completeness, consistency, transparency, and accuracy. The use of illustrative values for placeholders (e.g., transport distances, last-mile distance, energy consumption values, etc.) means that the absolute figures presented should be considered indicative. For enhanced accuracy, mlqhjnikki is encouraged to collect more specific primary data for transport, detailed energy mixes, and product-specific end-of-life fate.</w:t>
      </w:r>
    </w:p>
    <w:bookmarkEnd w:id="49"/>
    <w:bookmarkStart w:id="51" w:name="recommendations-for-mlqhjnikki"/>
    <w:p>
      <w:pPr>
        <w:pStyle w:val="Heading3"/>
      </w:pPr>
      <w:r>
        <w:t xml:space="preserve">6.3. Recommendations for mlqhjnikki</w:t>
      </w:r>
    </w:p>
    <w:p>
      <w:pPr>
        <w:pStyle w:val="FirstParagraph"/>
      </w:pPr>
      <w:r>
        <w:t xml:space="preserve">Based on this PCF analysis, mlqhjnikki should prioritize the following actions to reduce the carbon footprint of nphruldtzg:</w:t>
      </w:r>
    </w:p>
    <w:p>
      <w:pPr>
        <w:numPr>
          <w:ilvl w:val="0"/>
          <w:numId w:val="1015"/>
        </w:numPr>
        <w:pStyle w:val="Compact"/>
      </w:pPr>
      <w:r>
        <w:rPr>
          <w:bCs/>
          <w:b/>
        </w:rPr>
        <w:t xml:space="preserve">Optimize Use Phase Efficiency:</w:t>
      </w:r>
      <w:r>
        <w:t xml:space="preserve"> </w:t>
      </w:r>
      <w:r>
        <w:t xml:space="preserve">Focus on product design for reduced energy consumption during its lifespan. Explore opportunities for energy-efficient components or alternative power sources if applicable.</w:t>
      </w:r>
    </w:p>
    <w:p>
      <w:pPr>
        <w:numPr>
          <w:ilvl w:val="0"/>
          <w:numId w:val="1015"/>
        </w:numPr>
        <w:pStyle w:val="Compact"/>
      </w:pPr>
      <w:r>
        <w:rPr>
          <w:bCs/>
          <w:b/>
        </w:rPr>
        <w:t xml:space="preserve">Decarbonize Logistics:</w:t>
      </w:r>
      <w:r>
        <w:t xml:space="preserve"> </w:t>
      </w:r>
      <w:r>
        <w:t xml:space="preserve">Investigate lower-emission transport modes for last-mile delivery (e.g., electric vehicles, cargo bikes in urban areas) and optimize routing to reduce distances. Evaluate freight forwarders\' sustainability performance.</w:t>
      </w:r>
    </w:p>
    <w:p>
      <w:pPr>
        <w:numPr>
          <w:ilvl w:val="0"/>
          <w:numId w:val="1015"/>
        </w:numPr>
        <w:pStyle w:val="Compact"/>
      </w:pPr>
      <w:r>
        <w:rPr>
          <w:bCs/>
          <w:b/>
        </w:rPr>
        <w:t xml:space="preserve">Increase Renewable Energy Sourcing:</w:t>
      </w:r>
      <w:r>
        <w:t xml:space="preserve"> </w:t>
      </w:r>
      <w:r>
        <w:t xml:space="preserve">Continue and expand efforts to source 100% renewable electricity for manufacturing operations in China, potentially through power purchase agreements or on-site generation.</w:t>
      </w:r>
    </w:p>
    <w:p>
      <w:pPr>
        <w:numPr>
          <w:ilvl w:val="0"/>
          <w:numId w:val="1015"/>
        </w:numPr>
        <w:pStyle w:val="Compact"/>
      </w:pPr>
      <w:r>
        <w:rPr>
          <w:bCs/>
          <w:b/>
        </w:rPr>
        <w:t xml:space="preserve">Material Optimization:</w:t>
      </w:r>
      <w:r>
        <w:t xml:space="preserve"> </w:t>
      </w:r>
      <w:r>
        <w:t xml:space="preserve">Explore opportunities to use lower-carbon intensity materials or increase the recycled content in components like the aluminum housing and plastic casing, provided it does not compromise product quality or lifespan.</w:t>
      </w:r>
    </w:p>
    <w:p>
      <w:pPr>
        <w:numPr>
          <w:ilvl w:val="0"/>
          <w:numId w:val="1015"/>
        </w:numPr>
        <w:pStyle w:val="Compact"/>
      </w:pPr>
      <w:r>
        <w:rPr>
          <w:bCs/>
          <w:b/>
        </w:rPr>
        <w:t xml:space="preserve">Strengthen Circularity:</w:t>
      </w:r>
      <w:r>
        <w:t xml:space="preserve"> </w:t>
      </w:r>
      <w:r>
        <w:t xml:space="preserve">Continue to promote and expand the existing circular/take-back programs, aiming for higher recyclability rates and exploring options for product refurbishment or remanufacturing to extend lifespan.</w:t>
      </w:r>
    </w:p>
    <w:p>
      <w:pPr>
        <w:numPr>
          <w:ilvl w:val="0"/>
          <w:numId w:val="1015"/>
        </w:numPr>
        <w:pStyle w:val="Compact"/>
      </w:pPr>
      <w:r>
        <w:rPr>
          <w:bCs/>
          <w:b/>
        </w:rPr>
        <w:t xml:space="preserve">Supplier Engagement:</w:t>
      </w:r>
      <w:r>
        <w:t xml:space="preserve"> </w:t>
      </w:r>
      <w:r>
        <w:t xml:space="preserve">Collaborate with suppliers (especially for the circuit board, if specific EFs are not fully known for upstream processes) to gather more granular data and encourage their decarbonization efforts.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50" w:name="pageNumber"/>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nphruldtzg</dc:title>
  <dc:creator/>
  <dc:description>Detailed Product Carbon Footprint (PCF) analysis report for nphruldtzg, developed by gfxxqufnwh for mlqhjnikki, adhering to GHG Protocol standards and incorporating 2026 LSR update.</dc:description>
  <dc:language>en</dc:language>
  <cp:keywords/>
  <dcterms:created xsi:type="dcterms:W3CDTF">2026-05-30T11:30:27Z</dcterms:created>
  <dcterms:modified xsi:type="dcterms:W3CDTF">2026-05-30T11:30:27Z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