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Nitrocellulose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t xml:space="preserve">Product: Nitrocellulose</w:t>
      </w:r>
    </w:p>
    <w:p>
      <w:pPr>
        <w:pStyle w:val="BodyText"/>
      </w:pPr>
      <w: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t xml:space="preserve">Senior Sustainability Consultant:</w:t>
      </w:r>
      <w:r>
        <w:t xml:space="preserve"> </w:t>
      </w:r>
      <w:r>
        <w:t xml:space="preserve">Arno</w:t>
      </w:r>
    </w:p>
    <w:p>
      <w:pPr>
        <w:pStyle w:val="BodyText"/>
      </w:pPr>
      <w:r>
        <w:t xml:space="preserve">This report is generated based on available data and industry standards, providing an estimate of the Product Carbon Footprint.</w:t>
      </w:r>
      <w:r>
        <w:t xml:space="preserve"> </w:t>
      </w:r>
      <w:r>
        <w:t xml:space="preserve">Actual results may vary with primary data availability and specific operational details.</w:t>
      </w:r>
    </w:p>
    <w:p>
      <w:pPr>
        <w:pStyle w:val="BodyText"/>
      </w:pPr>
      <w:r>
        <w:t xml:space="preserve">Generated Date: September 8, 2026</w:t>
      </w:r>
    </w:p>
    <w:bookmarkEnd w:id="20"/>
    <w:bookmarkStart w:id="45" w:name="Xa47010b0e35c86683639690841d409efa183c54"/>
    <w:p>
      <w:pPr>
        <w:pStyle w:val="Heading1"/>
      </w:pPr>
      <w:r>
        <w:t xml:space="preserve">Product Carbon Footprint Analysis: Nitrocellulose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September 8, 2026</w:t>
      </w:r>
    </w:p>
    <w:p>
      <w:r>
        <w:pict>
          <v:rect style="width:0;height:1.5pt" o:hralign="center" o:hrstd="t" o:hr="t"/>
        </w:pict>
      </w:r>
    </w:p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Nitrocellulose, conducted by Senior Sustainability Consultant Arno,</w:t>
      </w:r>
      <w:r>
        <w:t xml:space="preserve"> </w:t>
      </w:r>
      <w:r>
        <w:t xml:space="preserve">adhering strictly to the Greenhouse Gas (GHG) Protocol. The analysis covers a "factory-gate" system boundary for a functional unit of 1.0 unit of Nitrocellulose,</w:t>
      </w:r>
      <w:r>
        <w:t xml:space="preserve"> </w:t>
      </w:r>
      <w:r>
        <w:t xml:space="preserve">with final production in Brazil and a supply chain focus on Asia. Key updates from the 2026 GHG Protocol Land Sector and Removals (LSR) Standard</w:t>
      </w:r>
      <w:r>
        <w:t xml:space="preserve"> </w:t>
      </w:r>
      <w:r>
        <w:t xml:space="preserve">and the 95% Scope 3 coverage requirement have been integrated. The study meticulously maps the lifecycle, identifies primary material and energy inputs,</w:t>
      </w:r>
      <w:r>
        <w:t xml:space="preserve"> </w:t>
      </w:r>
      <w:r>
        <w:t xml:space="preserve">calculates emissions across Scope 1, 2, and 3 categories using industry-standard emission factors, and highlights key carbon hotspots and data reliability considerations.</w:t>
      </w:r>
      <w:r>
        <w:t xml:space="preserve"> </w:t>
      </w:r>
      <w:r>
        <w:t xml:space="preserve">The primary hotspots are identified within the upstream supply chain, particularly the production of key chemical raw materials.</w:t>
      </w:r>
    </w:p>
    <w:p>
      <w:r>
        <w:pict>
          <v:rect style="width:0;height:1.5pt" o:hralign="center" o:hrstd="t" o:hr="t"/>
        </w:pict>
      </w:r>
    </w:p>
    <w:bookmarkEnd w:id="21"/>
    <w:bookmarkStart w:id="28" w:name="scope-definition"/>
    <w:p>
      <w:pPr>
        <w:pStyle w:val="Heading2"/>
      </w:pPr>
      <w:r>
        <w:t xml:space="preserve">1. Scope Definition</w:t>
      </w:r>
    </w:p>
    <w:p>
      <w:pPr>
        <w:pStyle w:val="FirstParagraph"/>
      </w:pPr>
      <w:r>
        <w:t xml:space="preserve">This section defines the fundamental parameters for the Product Carbon Footprint (PCF) analysis of Nitrocellulose, ensuring clarity and consistency with the GHG Protocol.</w:t>
      </w:r>
    </w:p>
    <w:bookmarkStart w:id="22" w:name="functional-unit"/>
    <w:p>
      <w:pPr>
        <w:pStyle w:val="Heading3"/>
      </w:pPr>
      <w:r>
        <w:t xml:space="preserve">1.1 Functional Unit</w:t>
      </w:r>
    </w:p>
    <w:p>
      <w:pPr>
        <w:pStyle w:val="FirstParagraph"/>
      </w:pPr>
      <w:r>
        <w:t xml:space="preserve">The functional unit for this PCF analysis is defined as</w:t>
      </w:r>
      <w:r>
        <w:t xml:space="preserve"> </w:t>
      </w:r>
      <w:r>
        <w:rPr>
          <w:bCs/>
          <w:b/>
        </w:rPr>
        <w:t xml:space="preserve">1.0 unit of Nitrocellulose</w:t>
      </w:r>
      <w:r>
        <w:t xml:space="preserve">. This unit serves as the reference basis</w:t>
      </w:r>
      <w:r>
        <w:t xml:space="preserve"> </w:t>
      </w:r>
      <w:r>
        <w:t xml:space="preserve">to which all input and output flows, and thus all environmental impacts, are related.</w:t>
      </w:r>
    </w:p>
    <w:bookmarkEnd w:id="22"/>
    <w:bookmarkStart w:id="23" w:name="system-boundary-factory-gate"/>
    <w:p>
      <w:pPr>
        <w:pStyle w:val="Heading3"/>
      </w:pPr>
      <w:r>
        <w:t xml:space="preserve">1.2 System Boundary: Factory-Gate</w:t>
      </w:r>
    </w:p>
    <w:p>
      <w:pPr>
        <w:pStyle w:val="FirstParagraph"/>
      </w:pPr>
      <w:r>
        <w:t xml:space="preserve">The system boundary for this assessment is "factory-gate" (cradle-to-gate). This encompasses all lifecycle stages</w:t>
      </w:r>
      <w:r>
        <w:t xml:space="preserve"> </w:t>
      </w:r>
      <w:r>
        <w:t xml:space="preserve">from the extraction and processing of raw materials, through their transportation to the manufacturing facility,</w:t>
      </w:r>
      <w:r>
        <w:t xml:space="preserve"> </w:t>
      </w:r>
      <w:r>
        <w:t xml:space="preserve">and all processes occurring at the manufacturing facility up to the point where the finished Nitrocellulose product</w:t>
      </w:r>
      <w:r>
        <w:t xml:space="preserve"> </w:t>
      </w:r>
      <w:r>
        <w:t xml:space="preserve">leaves the factory gate. This includes:</w:t>
      </w:r>
    </w:p>
    <w:p>
      <w:pPr>
        <w:numPr>
          <w:ilvl w:val="0"/>
          <w:numId w:val="1001"/>
        </w:numPr>
        <w:pStyle w:val="Compact"/>
      </w:pPr>
      <w:r>
        <w:t xml:space="preserve">Raw material acquisition and pre-processing (e.g., cellulose pulp production, nitric acid, sulfuric acid manufacturing).</w:t>
      </w:r>
    </w:p>
    <w:p>
      <w:pPr>
        <w:numPr>
          <w:ilvl w:val="0"/>
          <w:numId w:val="1001"/>
        </w:numPr>
        <w:pStyle w:val="Compact"/>
      </w:pPr>
      <w:r>
        <w:t xml:space="preserve">Transportation of raw materials and intermediate products to the Nitrocellulose production facility.</w:t>
      </w:r>
    </w:p>
    <w:p>
      <w:pPr>
        <w:numPr>
          <w:ilvl w:val="0"/>
          <w:numId w:val="1001"/>
        </w:numPr>
        <w:pStyle w:val="Compact"/>
      </w:pPr>
      <w:r>
        <w:t xml:space="preserve">Manufacturing processes at the Nitrocellulose plant, including energy consumption, process emissions, and waste generation.</w:t>
      </w:r>
    </w:p>
    <w:p>
      <w:pPr>
        <w:pStyle w:val="FirstParagraph"/>
      </w:pPr>
      <w:r>
        <w:t xml:space="preserve">The following stages are explicitly excluded from this "factory-gate" boundary:</w:t>
      </w:r>
    </w:p>
    <w:p>
      <w:pPr>
        <w:numPr>
          <w:ilvl w:val="0"/>
          <w:numId w:val="1002"/>
        </w:numPr>
        <w:pStyle w:val="Compact"/>
      </w:pPr>
      <w:r>
        <w:t xml:space="preserve">Product distribution to the customer.</w:t>
      </w:r>
    </w:p>
    <w:p>
      <w:pPr>
        <w:numPr>
          <w:ilvl w:val="0"/>
          <w:numId w:val="1002"/>
        </w:numPr>
        <w:pStyle w:val="Compact"/>
      </w:pPr>
      <w:r>
        <w:t xml:space="preserve">The use phase of the Nitrocellulose product.</w:t>
      </w:r>
    </w:p>
    <w:p>
      <w:pPr>
        <w:numPr>
          <w:ilvl w:val="0"/>
          <w:numId w:val="1002"/>
        </w:numPr>
        <w:pStyle w:val="Compact"/>
      </w:pPr>
      <w:r>
        <w:t xml:space="preserve">End-of-life treatment or disposal of the product.</w:t>
      </w:r>
    </w:p>
    <w:bookmarkEnd w:id="23"/>
    <w:bookmarkStart w:id="24" w:name="geographic-scope"/>
    <w:p>
      <w:pPr>
        <w:pStyle w:val="Heading3"/>
      </w:pPr>
      <w:r>
        <w:t xml:space="preserve">1.3 Geographic Scope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Final Production Country: Brazil</w:t>
      </w:r>
      <w:r>
        <w:t xml:space="preserve"> </w:t>
      </w:r>
      <w:r>
        <w:t xml:space="preserve">- Direct emissions (Scope 1) and purchased electricity emissions (Scope 2) are based on the energy mix and operational specifics of a manufacturing facility located in Brazil.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Supply Chain Focus: Asia Focused</w:t>
      </w:r>
      <w:r>
        <w:t xml:space="preserve"> </w:t>
      </w:r>
      <w:r>
        <w:t xml:space="preserve">- Upstream raw material production (e.g., cellulose, nitric acid, sulfuric acid) and associated transportation are modeled primarily considering sourcing from Asian regions, reflecting common global supply chains for these commodities.</w:t>
      </w:r>
    </w:p>
    <w:bookmarkEnd w:id="24"/>
    <w:bookmarkStart w:id="26" w:name="accounting-standard"/>
    <w:p>
      <w:pPr>
        <w:pStyle w:val="Heading3"/>
      </w:pPr>
      <w:r>
        <w:t xml:space="preserve">1.4 Accounting Standard</w:t>
      </w:r>
    </w:p>
    <w:p>
      <w:pPr>
        <w:pStyle w:val="FirstParagraph"/>
      </w:pPr>
      <w:r>
        <w:t xml:space="preserve">This Product Carbon Footprint analysis strictly adheres to the principles and requirements of the</w:t>
      </w:r>
      <w:r>
        <w:t xml:space="preserve"> </w:t>
      </w:r>
      <w:r>
        <w:rPr>
          <w:bCs/>
          <w:b/>
        </w:rPr>
        <w:t xml:space="preserve">GHG Protocol</w:t>
      </w:r>
      <w:r>
        <w:t xml:space="preserve">,</w:t>
      </w:r>
      <w:r>
        <w:t xml:space="preserve"> </w:t>
      </w:r>
      <w:r>
        <w:t xml:space="preserve">specifically the Corporate Value Chain (Scope 3) Accounting and Reporting Standard. This includes compliance with anticipated 2026 updates,</w:t>
      </w:r>
      <w:r>
        <w:t xml:space="preserve"> </w:t>
      </w:r>
      <w:r>
        <w:t xml:space="preserve">such as the</w:t>
      </w:r>
      <w:r>
        <w:t xml:space="preserve"> </w:t>
      </w:r>
      <w:hyperlink r:id="rId25">
        <w:r>
          <w:rPr>
            <w:rStyle w:val="Hyperlink"/>
          </w:rPr>
          <w:t xml:space="preserve">Land Sector and Removals (LSR) Standard</w:t>
        </w:r>
      </w:hyperlink>
      <w:r>
        <w:t xml:space="preserve"> </w:t>
      </w:r>
      <w:r>
        <w:t xml:space="preserve">for land-related emissions and removals,</w:t>
      </w:r>
      <w:r>
        <w:t xml:space="preserve"> </w:t>
      </w:r>
      <w:r>
        <w:t xml:space="preserve">and the enhanced requirements for Scope 3 completeness and data quality.</w:t>
      </w:r>
    </w:p>
    <w:bookmarkEnd w:id="26"/>
    <w:bookmarkStart w:id="27" w:name="allocation"/>
    <w:p>
      <w:pPr>
        <w:pStyle w:val="Heading3"/>
      </w:pPr>
      <w:r>
        <w:t xml:space="preserve">1.5 Allocation</w:t>
      </w:r>
    </w:p>
    <w:p>
      <w:pPr>
        <w:pStyle w:val="FirstParagraph"/>
      </w:pPr>
      <w:r>
        <w:t xml:space="preserve">Where co-products or by-products are generated within the system boundary, mass-based allocation is applied in accordance with GHG Protocol guidelines.</w:t>
      </w:r>
      <w:r>
        <w:t xml:space="preserve"> </w:t>
      </w:r>
      <w:r>
        <w:t xml:space="preserve">This approach attributes environmental burdens proportionally to the mass of each co-product, ensuring a fair distribution of impacts.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3" w:name="lifecycle-mapping-3.-data-collection"/>
    <w:p>
      <w:pPr>
        <w:pStyle w:val="Heading2"/>
      </w:pPr>
      <w:r>
        <w:t xml:space="preserve">2. Lifecycle Mapping &amp; 3. Data Collection</w:t>
      </w:r>
    </w:p>
    <w:p>
      <w:pPr>
        <w:pStyle w:val="FirstParagraph"/>
      </w:pPr>
      <w:r>
        <w:t xml:space="preserve">These two steps are presented together as the identification of lifecycle stages (mapping) directly informs the data required (collection).</w:t>
      </w:r>
      <w:r>
        <w:t xml:space="preserve"> </w:t>
      </w:r>
      <w:r>
        <w:t xml:space="preserve">Nitrocellulose, also known as cellulose nitrate, is a highly flammable compound produced by nitrating cellulose with a mixture of nitric acid and sulfuric acid.</w:t>
      </w:r>
      <w:r>
        <w:t xml:space="preserve"> </w:t>
      </w:r>
      <w:r>
        <w:t xml:space="preserve">The production process involves several critical stages, each contributing to the overall carbon footprint.</w:t>
      </w:r>
    </w:p>
    <w:bookmarkStart w:id="29" w:name="X1d7c32c3130104b039a1e484ae2e276c3420d52"/>
    <w:p>
      <w:pPr>
        <w:pStyle w:val="Heading3"/>
      </w:pPr>
      <w:r>
        <w:t xml:space="preserve">2.1 Nitrocellulose Production Process Overview</w:t>
      </w:r>
    </w:p>
    <w:p>
      <w:pPr>
        <w:pStyle w:val="FirstParagraph"/>
      </w:pPr>
      <w:r>
        <w:t xml:space="preserve">The manufacturing of Nitrocellulose fundamentally involves the esterification of cellulose fibers with a strong acid mixture. Key stages typically include: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Cellulose Preparation:</w:t>
      </w:r>
      <w:r>
        <w:t xml:space="preserve"> </w:t>
      </w:r>
      <w:r>
        <w:t xml:space="preserve">Purification of raw cellulose (e.g., wood pulp or cotton linters) is crucial, as impurities can reduce the quality of the final product.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Acid Mixture Preparation:</w:t>
      </w:r>
      <w:r>
        <w:t xml:space="preserve"> </w:t>
      </w:r>
      <w:r>
        <w:t xml:space="preserve">Nitric acid provides the nitrate groups, while sulfuric acid acts as a dehydrating agent, absorbing water produced during the nitration reaction and promoting the reaction\'s efficiency.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Nitration:</w:t>
      </w:r>
      <w:r>
        <w:t xml:space="preserve"> </w:t>
      </w:r>
      <w:r>
        <w:t xml:space="preserve">Cellulose fibers are immersed in the mixed acid, leading to the replacement of hydroxyl (-OH) groups with nitrate (-ONO₂) groups. The degree of nitration determines the properties and applications of the Nitrocellulose.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Washing and Stabilization:</w:t>
      </w:r>
      <w:r>
        <w:t xml:space="preserve"> </w:t>
      </w:r>
      <w:r>
        <w:t xml:space="preserve">After nitration, the product undergoes extensive washing to remove residual acids and impurities. This is vital for safety, preventing self-decomposition, and ensuring product stability. Boiling in water is often employed for thorough cleansing.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Dehydration and Blending:</w:t>
      </w:r>
      <w:r>
        <w:t xml:space="preserve"> </w:t>
      </w:r>
      <w:r>
        <w:t xml:space="preserve">Excess water is removed, often through mechanical means, and the nitrocellulose may be blended or densified for specific applications.</w:t>
      </w:r>
    </w:p>
    <w:bookmarkEnd w:id="29"/>
    <w:bookmarkStart w:id="30" w:name="X5399facaf9f2492bac8a9d467e3502d06c88996"/>
    <w:p>
      <w:pPr>
        <w:pStyle w:val="Heading3"/>
      </w:pPr>
      <w:r>
        <w:t xml:space="preserve">2.2 Detailed Material Inputs (Supply Chain Focus: Asia)</w:t>
      </w:r>
    </w:p>
    <w:p>
      <w:pPr>
        <w:pStyle w:val="FirstParagraph"/>
      </w:pPr>
      <w:r>
        <w:t xml:space="preserve">The following materials are key inputs for Nitrocellulose production, with a significant portion of their upstream lifecycle impacts attributed to Asian supply chains, as specified in the geographic scope: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Cellulose (Wood Pulp):</w:t>
      </w:r>
      <w:r>
        <w:t xml:space="preserve"> </w:t>
      </w:r>
      <w:r>
        <w:t xml:space="preserve">The primary raw material. Given the Asia-focused supply chain, sourcing from major pulp-producing regions in Asia is assumed.</w:t>
      </w:r>
      <w:r>
        <w:t xml:space="preserve"> </w:t>
      </w:r>
      <w:r>
        <w:t xml:space="preserve">Purity is paramount for the final product quality.</w:t>
      </w:r>
    </w:p>
    <w:p>
      <w:pPr>
        <w:numPr>
          <w:ilvl w:val="1"/>
          <w:numId w:val="1006"/>
        </w:numPr>
        <w:pStyle w:val="Compact"/>
      </w:pPr>
      <w:r>
        <w:rPr>
          <w:bCs/>
          <w:b/>
        </w:rPr>
        <w:t xml:space="preserve">Typical Inputs for Wood Pulp Production:</w:t>
      </w:r>
      <w:r>
        <w:t xml:space="preserve"> </w:t>
      </w:r>
      <w:r>
        <w:t xml:space="preserve">Wood (forestry, harvesting, debarking), chemicals (e.g., caustic soda, chlorine dioxide for pulping and bleaching), water, energy (electricity, steam).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Nitric Acid (HNO₃):</w:t>
      </w:r>
      <w:r>
        <w:t xml:space="preserve"> </w:t>
      </w:r>
      <w:r>
        <w:t xml:space="preserve">A critical reactant. Its production is energy and resource-intensive.</w:t>
      </w:r>
    </w:p>
    <w:p>
      <w:pPr>
        <w:numPr>
          <w:ilvl w:val="1"/>
          <w:numId w:val="1007"/>
        </w:numPr>
        <w:pStyle w:val="Compact"/>
      </w:pPr>
      <w:r>
        <w:rPr>
          <w:bCs/>
          <w:b/>
        </w:rPr>
        <w:t xml:space="preserve">Typical Inputs for Nitric Acid Production:</w:t>
      </w:r>
      <w:r>
        <w:t xml:space="preserve"> </w:t>
      </w:r>
      <w:r>
        <w:t xml:space="preserve">Anhydrous ammonia (produced from natural gas via Haber-Bosch process), air, water, significant energy (electricity, steam for heating/cooling).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Sulfuric Acid (H₂SO₄):</w:t>
      </w:r>
      <w:r>
        <w:t xml:space="preserve"> </w:t>
      </w:r>
      <w:r>
        <w:t xml:space="preserve">Used as a dehydrating agent. Its production is also significant.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Typical Inputs for Sulfuric Acid Production:</w:t>
      </w:r>
      <w:r>
        <w:t xml:space="preserve"> </w:t>
      </w:r>
      <w:r>
        <w:t xml:space="preserve">Sulfur (often from crude oil/natural gas desulfurization), water, air, energy (electricity, steam). The process generates SO₂ and SO₃ emissions.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Water:</w:t>
      </w:r>
      <w:r>
        <w:t xml:space="preserve"> </w:t>
      </w:r>
      <w:r>
        <w:t xml:space="preserve">Used extensively for reaction, washing, cooling, and steam generation. While the final production is in Brazil, the upstream water treatment for raw material production in Asia is considered.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Other Process Chemicals:</w:t>
      </w:r>
      <w:r>
        <w:t xml:space="preserve"> </w:t>
      </w:r>
      <w:r>
        <w:t xml:space="preserve">Includes smaller quantities of chemicals for pH adjustment, stabilization, or effluent treatment (e.g., caustic soda).</w:t>
      </w:r>
    </w:p>
    <w:bookmarkEnd w:id="30"/>
    <w:bookmarkStart w:id="31" w:name="X4e75adc8fa41a5c490caed6e13edae0d9a97f80"/>
    <w:p>
      <w:pPr>
        <w:pStyle w:val="Heading3"/>
      </w:pPr>
      <w:r>
        <w:t xml:space="preserve">2.3 Detailed Energy Inputs (Final Production Country: Brazil)</w:t>
      </w:r>
    </w:p>
    <w:p>
      <w:pPr>
        <w:pStyle w:val="FirstParagraph"/>
      </w:pPr>
      <w:r>
        <w:t xml:space="preserve">Energy consumption at the Nitrocellulose manufacturing facility in Brazil is a critical input.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Electricity:</w:t>
      </w:r>
      <w:r>
        <w:t xml:space="preserve"> </w:t>
      </w:r>
      <w:r>
        <w:t xml:space="preserve">Used for pumps, mixers, centrifuges, cooling systems, lighting, and general facility operations. Brazil\'s electricity grid mix is predominantly hydroelectric, making it relatively low-carbon compared to fossil-fuel-intensive grids, but still includes thermal sources.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Heat/Steam:</w:t>
      </w:r>
      <w:r>
        <w:t xml:space="preserve"> </w:t>
      </w:r>
      <w:r>
        <w:t xml:space="preserve">Required for various heating processes, including the washing and stabilization stages. This is typically generated on-site, often through the combustion of fossil fuels such as natural gas.</w:t>
      </w:r>
    </w:p>
    <w:bookmarkEnd w:id="31"/>
    <w:bookmarkStart w:id="32" w:name="waste-outputs"/>
    <w:p>
      <w:pPr>
        <w:pStyle w:val="Heading3"/>
      </w:pPr>
      <w:r>
        <w:t xml:space="preserve">2.4 Waste Outputs</w:t>
      </w:r>
    </w:p>
    <w:p>
      <w:pPr>
        <w:pStyle w:val="FirstParagraph"/>
      </w:pPr>
      <w:r>
        <w:t xml:space="preserve">Waste streams generated at the factory gate typically include: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Wastewater:</w:t>
      </w:r>
      <w:r>
        <w:t xml:space="preserve"> </w:t>
      </w:r>
      <w:r>
        <w:t xml:space="preserve">Effluent from washing and other processes, requiring treatment before discharge.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Spent Acids:</w:t>
      </w:r>
      <w:r>
        <w:t xml:space="preserve"> </w:t>
      </w:r>
      <w:r>
        <w:t xml:space="preserve">Residual acid mixtures from the nitration process, often recovered or treated.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0" w:name="emission-calculation"/>
    <w:p>
      <w:pPr>
        <w:pStyle w:val="Heading2"/>
      </w:pPr>
      <w:r>
        <w:t xml:space="preserve">4. Emission Calculation</w:t>
      </w:r>
    </w:p>
    <w:p>
      <w:pPr>
        <w:pStyle w:val="FirstParagraph"/>
      </w:pPr>
      <w:r>
        <w:t xml:space="preserve">The calculation of Greenhouse Gas (GHG) emissions follows the GHG Protocol methodology, quantifying emissions across Scope 1, Scope 2, and Scope 3 categories.</w:t>
      </w:r>
      <w:r>
        <w:t xml:space="preserve"> </w:t>
      </w:r>
      <w:r>
        <w:t xml:space="preserve">Emissions are calculated using the formula: Activity Data × Emission Factor = CO₂e. Industry-standard emission factors, primarily sourced from Ecoinvent and other credible databases like DEFRA,</w:t>
      </w:r>
      <w:r>
        <w:t xml:space="preserve"> </w:t>
      </w:r>
      <w:r>
        <w:t xml:space="preserve">are applied, considering the specific geographic scope and supply chain focus.</w:t>
      </w:r>
    </w:p>
    <w:bookmarkStart w:id="34" w:name="ghg-protocol-scopes-categorization"/>
    <w:p>
      <w:pPr>
        <w:pStyle w:val="Heading3"/>
      </w:pPr>
      <w:r>
        <w:t xml:space="preserve">4.1 GHG Protocol Scopes Categorization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Scope 1: Direct Emissions</w:t>
      </w:r>
    </w:p>
    <w:p>
      <w:pPr>
        <w:numPr>
          <w:ilvl w:val="0"/>
          <w:numId w:val="1000"/>
        </w:numPr>
      </w:pPr>
      <w:r>
        <w:t xml:space="preserve">Emissions from sources directly owned or controlled by the reporting company at the Brazilian production facility.</w:t>
      </w:r>
    </w:p>
    <w:p>
      <w:pPr>
        <w:numPr>
          <w:ilvl w:val="1"/>
          <w:numId w:val="1012"/>
        </w:numPr>
        <w:pStyle w:val="Compact"/>
      </w:pPr>
      <w:r>
        <w:t xml:space="preserve">On-site combustion of natural gas for heat and steam generation.</w:t>
      </w:r>
    </w:p>
    <w:p>
      <w:pPr>
        <w:numPr>
          <w:ilvl w:val="1"/>
          <w:numId w:val="1012"/>
        </w:numPr>
        <w:pStyle w:val="Compact"/>
      </w:pPr>
      <w:r>
        <w:t xml:space="preserve">Minor process emissions from the nitration reaction (if not fully captured or recycled).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Scope 2: Purchased Energy Emissions</w:t>
      </w:r>
    </w:p>
    <w:p>
      <w:pPr>
        <w:numPr>
          <w:ilvl w:val="0"/>
          <w:numId w:val="1000"/>
        </w:numPr>
      </w:pPr>
      <w:r>
        <w:t xml:space="preserve">Indirect emissions from the generation of purchased electricity consumed by the reporting company at the Brazilian production facility.</w:t>
      </w:r>
    </w:p>
    <w:p>
      <w:pPr>
        <w:numPr>
          <w:ilvl w:val="1"/>
          <w:numId w:val="1013"/>
        </w:numPr>
        <w:pStyle w:val="Compact"/>
      </w:pPr>
      <w:r>
        <w:t xml:space="preserve">Electricity drawn from the Brazilian national grid, reflecting its specific generation mix (predominantly hydroelectric, with some thermal contribution).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Scope 3: Value Chain (Indirect) Emissions</w:t>
      </w:r>
    </w:p>
    <w:p>
      <w:pPr>
        <w:numPr>
          <w:ilvl w:val="0"/>
          <w:numId w:val="1000"/>
        </w:numPr>
      </w:pPr>
      <w:r>
        <w:t xml:space="preserve">All other indirect emissions that occur in the value chain of the reporting company, both upstream and downstream. Given the "factory-gate" boundary, the focus is on upstream Scope 3 categories.</w:t>
      </w:r>
    </w:p>
    <w:p>
      <w:pPr>
        <w:numPr>
          <w:ilvl w:val="1"/>
          <w:numId w:val="1014"/>
        </w:numPr>
        <w:pStyle w:val="Compact"/>
      </w:pPr>
      <w:r>
        <w:rPr>
          <w:bCs/>
          <w:b/>
        </w:rPr>
        <w:t xml:space="preserve">Category 1: Purchased goods and services</w:t>
      </w:r>
      <w:r>
        <w:t xml:space="preserve"> </w:t>
      </w:r>
      <w:r>
        <w:t xml:space="preserve">- Emissions from the extraction, production, and transportation of all raw materials (cellulose, nitric acid, sulfuric acid, other chemicals) purchased by the company. This is anticipated to be the largest Scope 3 category, reflecting the Asia-focused supply chain.</w:t>
      </w:r>
    </w:p>
    <w:p>
      <w:pPr>
        <w:numPr>
          <w:ilvl w:val="1"/>
          <w:numId w:val="1014"/>
        </w:numPr>
        <w:pStyle w:val="Compact"/>
      </w:pPr>
      <w:r>
        <w:rPr>
          <w:bCs/>
          <w:b/>
        </w:rPr>
        <w:t xml:space="preserve">Category 4: Upstream transportation and distribution</w:t>
      </w:r>
      <w:r>
        <w:t xml:space="preserve"> </w:t>
      </w:r>
      <w:r>
        <w:t xml:space="preserve">- Emissions from the transportation of raw materials and intermediate products from suppliers (primarily in Asia) to the Nitrocellulose production facility in Brazil.</w:t>
      </w:r>
    </w:p>
    <w:p>
      <w:pPr>
        <w:numPr>
          <w:ilvl w:val="1"/>
          <w:numId w:val="1014"/>
        </w:numPr>
        <w:pStyle w:val="Compact"/>
      </w:pPr>
      <w:r>
        <w:rPr>
          <w:bCs/>
          <w:b/>
        </w:rPr>
        <w:t xml:space="preserve">Category 5: Waste generated in operations</w:t>
      </w:r>
      <w:r>
        <w:t xml:space="preserve"> </w:t>
      </w:r>
      <w:r>
        <w:t xml:space="preserve">- Emissions from the disposal and treatment of operational waste, including spent acids and wastewater.</w:t>
      </w:r>
    </w:p>
    <w:p>
      <w:pPr>
        <w:numPr>
          <w:ilvl w:val="1"/>
          <w:numId w:val="1014"/>
        </w:numPr>
        <w:pStyle w:val="Compact"/>
      </w:pPr>
      <w:r>
        <w:t xml:space="preserve">Other relevant upstream categories may include capital goods and fuel- and energy-related activities not included in Scope 1 or Scope 2.</w:t>
      </w:r>
    </w:p>
    <w:bookmarkEnd w:id="34"/>
    <w:bookmarkStart w:id="35" w:name="X504f4a86e01fdcfa46a4589bb1b5e0cfaad8629"/>
    <w:p>
      <w:pPr>
        <w:pStyle w:val="Heading3"/>
      </w:pPr>
      <w:r>
        <w:t xml:space="preserve">4.2 2026 Land Sector and Removals (LSR) Standard Update</w:t>
      </w:r>
    </w:p>
    <w:p>
      <w:pPr>
        <w:pStyle w:val="FirstParagraph"/>
      </w:pPr>
      <w:r>
        <w:t xml:space="preserve">The GHG Protocol\'s Land Sector and Removals (LSR) Standard, finalized on January 30, 2026, and effective January 1, 2027,</w:t>
      </w:r>
      <w:r>
        <w:t xml:space="preserve"> </w:t>
      </w:r>
      <w:r>
        <w:t xml:space="preserve">provides comprehensive guidance for accounting and reporting GHG emissions and CO₂ removals from land-based activities.</w:t>
      </w:r>
      <w:r>
        <w:t xml:space="preserve"> </w:t>
      </w:r>
      <w:r>
        <w:t xml:space="preserve">For this PCF, the LSR Standard is applied to capture emissions and potential removals associated with the upstream production of cellulose (wood pulp).</w:t>
      </w:r>
      <w:r>
        <w:t xml:space="preserve"> </w:t>
      </w:r>
      <w:r>
        <w:t xml:space="preserve">This includes emissions from land use change (LUC), land management practices, and the biogenic carbon stored in harvested wood products.</w:t>
      </w:r>
      <w:r>
        <w:t xml:space="preserve"> </w:t>
      </w:r>
      <w:r>
        <w:t xml:space="preserve">While calculation guidance is still being developed (expected mid-2026), the principles of the LSR Standard are integrated to ensure traceability and appropriate accounting for biogenic carbon flows,</w:t>
      </w:r>
      <w:r>
        <w:t xml:space="preserve"> </w:t>
      </w:r>
      <w:r>
        <w:t xml:space="preserve">especially given the agricultural or forestry origin of cellulose.</w:t>
      </w:r>
    </w:p>
    <w:bookmarkEnd w:id="35"/>
    <w:bookmarkStart w:id="36" w:name="scope-3-compliance-95-coverage"/>
    <w:p>
      <w:pPr>
        <w:pStyle w:val="Heading3"/>
      </w:pPr>
      <w:r>
        <w:t xml:space="preserve">4.3 Scope 3 Compliance: 95% Coverage</w:t>
      </w:r>
    </w:p>
    <w:p>
      <w:pPr>
        <w:pStyle w:val="FirstParagraph"/>
      </w:pPr>
      <w:r>
        <w:t xml:space="preserve">In line with the proposed 2026 GHG Protocol updates for Scope 3 reporting, this analysis aims to ensure at least</w:t>
      </w:r>
      <w:r>
        <w:t xml:space="preserve"> </w:t>
      </w:r>
      <w:r>
        <w:rPr>
          <w:bCs/>
          <w:b/>
        </w:rPr>
        <w:t xml:space="preserve">95% coverage</w:t>
      </w:r>
      <w:r>
        <w:t xml:space="preserve"> </w:t>
      </w:r>
      <w:r>
        <w:t xml:space="preserve">of total relevant Scope 3 emissions to claim conformance.</w:t>
      </w:r>
      <w:r>
        <w:t xml:space="preserve"> </w:t>
      </w:r>
      <w:r>
        <w:t xml:space="preserve">This rigorous approach prevents selective disclosure and emphasizes a comprehensive assessment of the value chain.</w:t>
      </w:r>
      <w:r>
        <w:t xml:space="preserve"> </w:t>
      </w:r>
      <w:r>
        <w:t xml:space="preserve">Furthermore, data quality is prioritized, with an emphasis on disaggregating data by source type (primary, hybrid, activity-based, or spend-based)</w:t>
      </w:r>
      <w:r>
        <w:t xml:space="preserve"> </w:t>
      </w:r>
      <w:r>
        <w:t xml:space="preserve">to enhance transparency and comparability. In this report, secondary data from databases is predominantly used,</w:t>
      </w:r>
      <w:r>
        <w:t xml:space="preserve"> </w:t>
      </w:r>
      <w:r>
        <w:t xml:space="preserve">serving as a foundation for a robust estimate in the absence of primary supplier-specific data.</w:t>
      </w:r>
    </w:p>
    <w:bookmarkEnd w:id="36"/>
    <w:bookmarkStart w:id="39" w:name="Xe7a15e4902db7b0b3d78ad820e16de80fd107cf"/>
    <w:p>
      <w:pPr>
        <w:pStyle w:val="Heading3"/>
      </w:pPr>
      <w:r>
        <w:t xml:space="preserve">4.4 Illustrative Emission Factors and Sample Calculation</w:t>
      </w:r>
    </w:p>
    <w:p>
      <w:pPr>
        <w:pStyle w:val="FirstParagraph"/>
      </w:pPr>
      <w:r>
        <w:t xml:space="preserve">For illustration purposes, representative emission factors (EFs) are adopted from Ecoinvent v3.8 / v3.10 and other recognized sources.</w:t>
      </w:r>
      <w:r>
        <w:t xml:space="preserve"> </w:t>
      </w:r>
      <w:r>
        <w:t xml:space="preserve">Actual Ecoinvent datasets are often premium or region-specific, so these values serve as plausible estimates based on available public information.</w:t>
      </w:r>
    </w:p>
    <w:bookmarkStart w:id="37" w:name="illustrative-emission-factors"/>
    <w:p>
      <w:pPr>
        <w:pStyle w:val="Heading4"/>
      </w:pPr>
      <w:r>
        <w:t xml:space="preserve">Illustrative Emission Factors: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Cellulose (Wood Pulp, Asia):</w:t>
      </w:r>
      <w:r>
        <w:t xml:space="preserve"> </w:t>
      </w:r>
      <w:r>
        <w:t xml:space="preserve">Approx. 0.5 - 1.0 kg CO₂e/kg. (Range based on general pulp production, e.g., similar to cellulose fibre production from waste paper).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Nitric Acid (70%, Asia):</w:t>
      </w:r>
      <w:r>
        <w:t xml:space="preserve"> </w:t>
      </w:r>
      <w:r>
        <w:t xml:space="preserve">Approx. 4.62 kg CO₂e/kg.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Sulfuric Acid (98%, Asia):</w:t>
      </w:r>
      <w:r>
        <w:t xml:space="preserve"> </w:t>
      </w:r>
      <w:r>
        <w:t xml:space="preserve">Approx. 0.3 - 0.6 kg CO₂e/kg. (Range based on sulfuric acid production, depending on source of sulfur).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Electricity (Brazil Grid Mix, Average):</w:t>
      </w:r>
      <w:r>
        <w:t xml:space="preserve"> </w:t>
      </w:r>
      <w:r>
        <w:t xml:space="preserve">Approx. 0.06 - 0.15 kg CO₂e/kWh. (Brazil\'s grid is lower carbon due to hydro, but includes thermal components).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Natural Gas (for heat/steam):</w:t>
      </w:r>
      <w:r>
        <w:t xml:space="preserve"> </w:t>
      </w:r>
      <w:r>
        <w:t xml:space="preserve">Approx. 0.2 kg CO₂e/MJ (or ~2.3 kg CO₂e/m³).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Water (Treated, Global Average):</w:t>
      </w:r>
      <w:r>
        <w:t xml:space="preserve"> </w:t>
      </w:r>
      <w:r>
        <w:t xml:space="preserve">Approx. 0.0005 - 0.001 kg CO₂e/kg (or m³).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Wastewater Treatment (Average):</w:t>
      </w:r>
      <w:r>
        <w:t xml:space="preserve"> </w:t>
      </w:r>
      <w:r>
        <w:t xml:space="preserve">Approx. 0.1 - 0.3 kg CO₂e/m³.</w:t>
      </w:r>
    </w:p>
    <w:bookmarkEnd w:id="37"/>
    <w:bookmarkStart w:id="38" w:name="Xfea15396fb54ac9c32012f10fcef0210cdf03ed"/>
    <w:p>
      <w:pPr>
        <w:pStyle w:val="Heading4"/>
      </w:pPr>
      <w:r>
        <w:t xml:space="preserve">Sample Calculation Table for 1.0 unit of Nitrocellulose (Illustrative Inputs)</w:t>
      </w:r>
    </w:p>
    <w:p>
      <w:pPr>
        <w:pStyle w:val="FirstParagraph"/>
      </w:pPr>
      <w:r>
        <w:t xml:space="preserve">Assuming typical mass ratios for nitrocellulose production (e.g., approximately 0.69 tons of cellulose, 0.75 tons of nitric acid, and 0.07 tons of sulfuric acid for 1 ton of nitrocellulose).</w:t>
      </w:r>
      <w:r>
        <w:t xml:space="preserve"> </w:t>
      </w:r>
      <w:r>
        <w:t xml:space="preserve">Let\'s assume the "unit" is 1 kg of Nitrocellulose for this example.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 /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 (per 1 kg NC)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(Illustrative)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CO₂e (kg)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Upstream (Scope 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Cellulose (Wood Pulp) Production (Asia)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0.69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 kg CO₂e/kg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Nitric Acid Production (Asia)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4.62 kg CO₂e/kg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Sulfuric Acid Production (Asia)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 kg CO₂e/kg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 (Upstream for material production)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kg (example)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0.0008 kg CO₂e/kg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Transportation of Raw Materials (Asia to Brazil)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(e.g., 1.51 kg materials * 10,000 km ocean freight)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(e.g., 0.00001 kg CO₂e/kg·km)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 4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Manufacturing (Brazil)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Electricity Consumption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 kWh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 kg CO₂e/kWh (Brazil average)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Natural Gas Combustion (for heat/steam)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 MJ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 kg CO₂e/MJ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 Emissions (Minor, e.g. fugitive)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 (direct est.)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Wastewater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 kg CO₂e/m³ (assuming water density 1kg/L)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 5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right"/>
            </w:pPr>
            <w:r>
              <w:t xml:space="preserve">Total Estimated PCF per 1 kg Nitrocellulose: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4.439 kg CO₂e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Cs/>
          <w:i/>
        </w:rPr>
        <w:t xml:space="preserve">Note: These values are illustrative and based on generic factors. A precise PCF would require specific primary data from suppliers,</w:t>
      </w:r>
      <w:r>
        <w:rPr>
          <w:iCs/>
          <w:i/>
        </w:rPr>
        <w:t xml:space="preserve"> </w:t>
      </w:r>
      <w:r>
        <w:rPr>
          <w:iCs/>
          <w:i/>
        </w:rPr>
        <w:t xml:space="preserve">detailed process data, and region-specific, up-to-date Ecoinvent or DEFRA datasets.</w:t>
      </w:r>
    </w:p>
    <w:p>
      <w:r>
        <w:pict>
          <v:rect style="width:0;height:1.5pt" o:hralign="center" o:hrstd="t" o:hr="t"/>
        </w:pict>
      </w:r>
    </w:p>
    <w:bookmarkEnd w:id="38"/>
    <w:bookmarkEnd w:id="39"/>
    <w:bookmarkEnd w:id="40"/>
    <w:bookmarkStart w:id="44" w:name="review-report"/>
    <w:p>
      <w:pPr>
        <w:pStyle w:val="Heading2"/>
      </w:pPr>
      <w:r>
        <w:t xml:space="preserve">5. Review &amp; Report</w:t>
      </w:r>
    </w:p>
    <w:p>
      <w:pPr>
        <w:pStyle w:val="FirstParagraph"/>
      </w:pPr>
      <w:r>
        <w:t xml:space="preserve">This section provides an interpretation of the calculated emissions, identifies key hotspots, and discusses the reliability of the assessment.</w:t>
      </w:r>
    </w:p>
    <w:bookmarkStart w:id="41" w:name="carbon-hotspots"/>
    <w:p>
      <w:pPr>
        <w:pStyle w:val="Heading3"/>
      </w:pPr>
      <w:r>
        <w:t xml:space="preserve">5.1 Carbon Hotspots</w:t>
      </w:r>
    </w:p>
    <w:p>
      <w:pPr>
        <w:pStyle w:val="FirstParagraph"/>
      </w:pPr>
      <w:r>
        <w:t xml:space="preserve">Based on the illustrative calculation, the primary carbon hotspots for Nitrocellulose production within a factory-gate boundary,</w:t>
      </w:r>
      <w:r>
        <w:t xml:space="preserve"> </w:t>
      </w:r>
      <w:r>
        <w:t xml:space="preserve">with an Asia-focused supply chain for raw materials and Brazilian manufacturing, are: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Nitric Acid Production (Scope 3, Category 1):</w:t>
      </w:r>
      <w:r>
        <w:t xml:space="preserve"> </w:t>
      </w:r>
      <w:r>
        <w:t xml:space="preserve">The production of nitric acid is notably energy and resource-intensive,</w:t>
      </w:r>
      <w:r>
        <w:t xml:space="preserve"> </w:t>
      </w:r>
      <w:r>
        <w:t xml:space="preserve">contributing a substantial portion of the overall footprint. This is a common hotspot for many chemical products.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Cellulose Production (Scope 3, Category 1):</w:t>
      </w:r>
      <w:r>
        <w:t xml:space="preserve"> </w:t>
      </w:r>
      <w:r>
        <w:t xml:space="preserve">While typically less intensive than strong acids, the sourcing and processing</w:t>
      </w:r>
      <w:r>
        <w:t xml:space="preserve"> </w:t>
      </w:r>
      <w:r>
        <w:t xml:space="preserve">of cellulose (wood pulp) still represent a significant upstream impact, particularly when considering land use and land use change as per the LSR Standard.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Transportation of Raw Materials (Scope 3, Category 4):</w:t>
      </w:r>
      <w:r>
        <w:t xml:space="preserve"> </w:t>
      </w:r>
      <w:r>
        <w:t xml:space="preserve">The long-distance transportation of raw materials from Asia to Brazil</w:t>
      </w:r>
      <w:r>
        <w:t xml:space="preserve"> </w:t>
      </w:r>
      <w:r>
        <w:t xml:space="preserve">via ocean freight contributes significantly to upstream emissions.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Wastewater Treatment (Scope 3, Category 5):</w:t>
      </w:r>
      <w:r>
        <w:t xml:space="preserve"> </w:t>
      </w:r>
      <w:r>
        <w:t xml:space="preserve">Emissions from the treatment of industrial wastewater can be considerable,</w:t>
      </w:r>
      <w:r>
        <w:t xml:space="preserve"> </w:t>
      </w:r>
      <w:r>
        <w:t xml:space="preserve">depending on the treatment technologies and energy use.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Electricity Consumption (Scope 2):</w:t>
      </w:r>
      <w:r>
        <w:t xml:space="preserve"> </w:t>
      </w:r>
      <w:r>
        <w:t xml:space="preserve">While Brazil\'s grid is relatively clean due to a high share of hydropower,</w:t>
      </w:r>
      <w:r>
        <w:t xml:space="preserve"> </w:t>
      </w:r>
      <w:r>
        <w:t xml:space="preserve">electricity consumption at the factory remains a notable contributor, and its footprint could be higher if relying on more carbon-intensive grids.</w:t>
      </w:r>
    </w:p>
    <w:bookmarkEnd w:id="41"/>
    <w:bookmarkStart w:id="42" w:name="reliability-and-limitations"/>
    <w:p>
      <w:pPr>
        <w:pStyle w:val="Heading3"/>
      </w:pPr>
      <w:r>
        <w:t xml:space="preserve">5.2 Reliability and Limitations</w:t>
      </w:r>
    </w:p>
    <w:p>
      <w:pPr>
        <w:pStyle w:val="FirstParagraph"/>
      </w:pPr>
      <w:r>
        <w:t xml:space="preserve">The reliability of this PCF analysis is influenced by the data sources and assumptions made: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Data Quality:</w:t>
      </w:r>
      <w:r>
        <w:t xml:space="preserve"> </w:t>
      </w:r>
      <w:r>
        <w:t xml:space="preserve">This report relies on secondary data from publicly available Ecoinvent versions (e.g., v3.8, v3.10)</w:t>
      </w:r>
      <w:r>
        <w:t xml:space="preserve"> </w:t>
      </w:r>
      <w:r>
        <w:t xml:space="preserve">and other industry sources for emission factors. While these are industry standards, primary, supplier-specific data would significantly enhance the accuracy and robustness of the assessment.</w:t>
      </w:r>
      <w:r>
        <w:t xml:space="preserve"> </w:t>
      </w:r>
      <w:r>
        <w:t xml:space="preserve">The GHG Protocol\'s 2026 updates emphasize mandatory data disaggregation by source type (primary vs. secondary) to improve transparency.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Geographic Specificity:</w:t>
      </w:r>
      <w:r>
        <w:t xml:space="preserve"> </w:t>
      </w:r>
      <w:r>
        <w:t xml:space="preserve">General emission factors for "Asia" and "Brazil" are used where highly specific country-level data was not universally available or accessible within the scope of this simulation.</w:t>
      </w:r>
      <w:r>
        <w:t xml:space="preserve"> </w:t>
      </w:r>
      <w:r>
        <w:t xml:space="preserve">More granular regional data, especially for raw material production in specific Asian countries, would refine the results.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LSR Standard Implementation:</w:t>
      </w:r>
      <w:r>
        <w:t xml:space="preserve"> </w:t>
      </w:r>
      <w:r>
        <w:t xml:space="preserve">While the principles of the 2026 LSR Standard are applied conceptually, the detailed calculation guidance for its full implementation is still forthcoming (expected mid-2026).</w:t>
      </w:r>
      <w:r>
        <w:t xml:space="preserve"> </w:t>
      </w:r>
      <w:r>
        <w:t xml:space="preserve">Future analyses should incorporate this guidance as it becomes available.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Allocation Method:</w:t>
      </w:r>
      <w:r>
        <w:t xml:space="preserve"> </w:t>
      </w:r>
      <w:r>
        <w:t xml:space="preserve">Mass-based allocation is a common and accepted method under the GHG Protocol but may not fully capture specific environmental burdens if economic value or other causal relationships are significantly different from mass.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The "factory-gate" boundary provides a comprehensive view of upstream impacts but deliberately excludes downstream stages (product use, end-of-life) which could be significant depending on the Nitrocellulose\'s application.</w:t>
      </w:r>
    </w:p>
    <w:bookmarkEnd w:id="42"/>
    <w:bookmarkStart w:id="43" w:name="recommendations-for-improvement"/>
    <w:p>
      <w:pPr>
        <w:pStyle w:val="Heading3"/>
      </w:pPr>
      <w:r>
        <w:t xml:space="preserve">5.3 Recommendations for Improvement</w:t>
      </w:r>
    </w:p>
    <w:p>
      <w:pPr>
        <w:pStyle w:val="FirstParagraph"/>
      </w:pPr>
      <w:r>
        <w:t xml:space="preserve">To further reduce the PCF of Nitrocellulose and enhance reporting accuracy, the following recommendations are provided: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Supplier Engagement:</w:t>
      </w:r>
      <w:r>
        <w:t xml:space="preserve"> </w:t>
      </w:r>
      <w:r>
        <w:t xml:space="preserve">Work closely with raw material suppliers (especially for nitric acid, sulfuric acid, and cellulose) to collect primary, activity-specific data. This would dramatically improve the accuracy of Scope 3, Category 1 emissions.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Optimized Sourcing:</w:t>
      </w:r>
      <w:r>
        <w:t xml:space="preserve"> </w:t>
      </w:r>
      <w:r>
        <w:t xml:space="preserve">Investigate opportunities for sourcing raw materials from suppliers with lower carbon footprints or from regions with cleaner production mixes, even within the "Asia-focused" scope.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Energy Efficiency:</w:t>
      </w:r>
      <w:r>
        <w:t xml:space="preserve"> </w:t>
      </w:r>
      <w:r>
        <w:t xml:space="preserve">Implement further energy efficiency measures at the Brazilian production facility to reduce electricity and natural gas consumption.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Renewable Energy Procurement:</w:t>
      </w:r>
      <w:r>
        <w:t xml:space="preserve"> </w:t>
      </w:r>
      <w:r>
        <w:t xml:space="preserve">Explore options for purchasing renewable energy directly (e.g., through Power Purchase Agreements) or investing in on-site renewable energy generation to further decarbonize Scope 2 emissions.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Waste Minimization and Circularity:</w:t>
      </w:r>
      <w:r>
        <w:t xml:space="preserve"> </w:t>
      </w:r>
      <w:r>
        <w:t xml:space="preserve">Optimize processes to reduce waste generation (especially spent acids and wastewater) and explore possibilities for recycling or beneficial reuse of these waste streams.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Life Cycle Thinking:</w:t>
      </w:r>
      <w:r>
        <w:t xml:space="preserve"> </w:t>
      </w:r>
      <w:r>
        <w:t xml:space="preserve">While outside the current "factory-gate" scope, consider extending the PCF analysis to include downstream stages in future assessments to gain a holistic understanding of the product\'s total environmental impact.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</w:t>
      </w:r>
    </w:p>
    <w:bookmarkEnd w:id="43"/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ghgprotocol.org/land-sector-and-removals-standar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ghgprotocol.org/land-sector-and-removals-standar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Nitrocellulose</dc:title>
  <dc:creator/>
  <dc:description>A high-detail Product Carbon Footprint (PCF) analysis report for Nitrocellulose, adhering to GHG Protocol standards and 2026 updates, prepared by Senior Sustainability Consultant Arno.</dc:description>
  <dc:language>en</dc:language>
  <cp:keywords/>
  <dcterms:created xsi:type="dcterms:W3CDTF">2026-09-08T17:03:14Z</dcterms:created>
  <dcterms:modified xsi:type="dcterms:W3CDTF">2026-09-08T17:03:14Z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