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nilmrjumxk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t xml:space="preserve">For Product:</w:t>
      </w:r>
      <w:r>
        <w:t xml:space="preserve"> </w:t>
      </w:r>
      <w:r>
        <w:rPr>
          <w:bCs/>
          <w:b/>
        </w:rPr>
        <w:t xml:space="preserve">nilmrjumxk</w:t>
      </w:r>
    </w:p>
    <w:p>
      <w:pPr>
        <w:pStyle w:val="BodyText"/>
      </w:pPr>
      <w:r>
        <w:t xml:space="preserve">Company:</w:t>
      </w:r>
      <w:r>
        <w:t xml:space="preserve"> </w:t>
      </w:r>
      <w:r>
        <w:rPr>
          <w:bCs/>
          <w:b/>
        </w:rPr>
        <w:t xml:space="preserve">idyopzhikh</w:t>
      </w:r>
    </w:p>
    <w:p>
      <w:pPr>
        <w:pStyle w:val="BodyText"/>
      </w:pPr>
      <w:r>
        <w:t xml:space="preserve">Senior Sustainability Consultant:</w:t>
      </w:r>
      <w:r>
        <w:t xml:space="preserve"> </w:t>
      </w:r>
      <w:r>
        <w:rPr>
          <w:bCs/>
          <w:b/>
        </w:rPr>
        <w:t xml:space="preserve">jfsgskrswg</w:t>
      </w:r>
    </w:p>
    <w:p>
      <w:pPr>
        <w:pStyle w:val="BodyText"/>
      </w:pPr>
      <w:r>
        <w:t xml:space="preserve">Protocol Data (Accounting Standard):</w:t>
      </w:r>
      <w:r>
        <w:t xml:space="preserve"> </w:t>
      </w:r>
      <w:r>
        <w:rPr>
          <w:bCs/>
          <w:b/>
        </w:rPr>
        <w:t xml:space="preserve">GHG Protocol</w:t>
      </w:r>
    </w:p>
    <w:p>
      <w:pPr>
        <w:pStyle w:val="BodyText"/>
      </w:pPr>
      <w:r>
        <w:rPr>
          <w:iCs/>
          <w:i/>
        </w:rPr>
        <w:t xml:space="preserve">Disclaimer: This report is generated based on available data and industry standards for illustrative purposes. Actual emissions may vary based on specific operational details and localized factors.</w:t>
      </w:r>
    </w:p>
    <w:bookmarkEnd w:id="20"/>
    <w:bookmarkStart w:id="21" w:name="X146199d7fae36013bc6a34a41ad5224803f9a9e"/>
    <w:p>
      <w:pPr>
        <w:pStyle w:val="Heading1"/>
      </w:pPr>
      <w:r>
        <w:t xml:space="preserve">Product Carbon Footprint Analysis: nilmrjumxk</w:t>
      </w:r>
    </w:p>
    <w:p>
      <w:pPr>
        <w:pStyle w:val="FirstParagraph"/>
      </w:pPr>
      <w:r>
        <w:t xml:space="preserve">Generated Date: June 2, 2026</w:t>
      </w:r>
    </w:p>
    <w:bookmarkEnd w:id="21"/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provides a high-detail Product Carbon Footprint (PCF) analysis for the product</w:t>
      </w:r>
      <w:r>
        <w:t xml:space="preserve"> </w:t>
      </w:r>
      <w:r>
        <w:rPr>
          <w:bCs/>
          <w:b/>
        </w:rPr>
        <w:t xml:space="preserve">nilmrjumxk</w:t>
      </w:r>
      <w:r>
        <w:t xml:space="preserve">, manufactured by</w:t>
      </w:r>
      <w:r>
        <w:t xml:space="preserve"> </w:t>
      </w:r>
      <w:r>
        <w:rPr>
          <w:bCs/>
          <w:b/>
        </w:rPr>
        <w:t xml:space="preserve">idyopzhikh</w:t>
      </w:r>
      <w:r>
        <w:t xml:space="preserve">. As</w:t>
      </w:r>
      <w:r>
        <w:t xml:space="preserve"> </w:t>
      </w:r>
      <w:r>
        <w:rPr>
          <w:bCs/>
          <w:b/>
        </w:rPr>
        <w:t xml:space="preserve">jfsgskrswg</w:t>
      </w:r>
      <w:r>
        <w:t xml:space="preserve">, Senior Sustainability Consultant, this analysis adheres to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, incorporating the 2026 Land Sector and Removals (LSR) Standard update and ensuring over 95% coverage for Scope 3 emissions. The assessment covers the entire product lifecycle from material acquisition to end-of-life, with a functional unit of 1.0 unit and a system boundary of \'factory_gate\' for initial production assessment, focusing on a European supply chain.</w:t>
      </w:r>
    </w:p>
    <w:p>
      <w:pPr>
        <w:pStyle w:val="BodyText"/>
      </w:pPr>
      <w:r>
        <w:t xml:space="preserve">The total estimated Product Carbon Footprint for one unit of nilmrjumxk is calculated by summing emissions across all lifecycle stages, including materials, manufacturing, transport, use, and end-of-life. Key hotspots include material acquisition and the product\'s use phase due to energy consumption.</w:t>
      </w:r>
    </w:p>
    <w:p>
      <w:r>
        <w:pict>
          <v:rect style="width:0;height:1.5pt" o:hralign="center" o:hrstd="t" o:hr="t"/>
        </w:pict>
      </w:r>
    </w:p>
    <w:bookmarkEnd w:id="22"/>
    <w:bookmarkStart w:id="25" w:name="methodology-and-scope-definition"/>
    <w:p>
      <w:pPr>
        <w:pStyle w:val="Heading2"/>
      </w:pPr>
      <w:r>
        <w:t xml:space="preserve">2. Methodology and Scope Definition</w:t>
      </w:r>
    </w:p>
    <w:p>
      <w:pPr>
        <w:pStyle w:val="FirstParagraph"/>
      </w:pPr>
      <w:r>
        <w:t xml:space="preserve">The Product Carbon Footprint (PCF) analysis for</w:t>
      </w:r>
      <w:r>
        <w:t xml:space="preserve"> </w:t>
      </w:r>
      <w:r>
        <w:rPr>
          <w:bCs/>
          <w:b/>
        </w:rPr>
        <w:t xml:space="preserve">nilmrjumxk</w:t>
      </w:r>
      <w:r>
        <w:t xml:space="preserve"> </w:t>
      </w:r>
      <w:r>
        <w:t xml:space="preserve">follows the five-step methodology prescribed by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1. Define Scope:</w:t>
      </w:r>
      <w:r>
        <w:t xml:space="preserve"> </w:t>
      </w:r>
      <w:r>
        <w:t xml:space="preserve">The functional unit, system boundaries, geographic scope, and allocation rules are established.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2. Map Lifecycle (LCI inventory stages):</w:t>
      </w:r>
      <w:r>
        <w:t xml:space="preserve"> </w:t>
      </w:r>
      <w:r>
        <w:t xml:space="preserve">All relevant processes and stages throughout the product\'s life are identified.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3. Collect Data:</w:t>
      </w:r>
      <w:r>
        <w:t xml:space="preserve"> </w:t>
      </w:r>
      <w:r>
        <w:t xml:space="preserve">Primary and secondary data points pertinent to each lifecycle stage are gathered.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4. Calculate Emissions:</w:t>
      </w:r>
      <w:r>
        <w:t xml:space="preserve"> </w:t>
      </w:r>
      <w:r>
        <w:t xml:space="preserve">Greenhouse gas emissions are quantified by multiplying activity data by appropriate emission factors (Activity × Emission Factor = CO2e).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5. Review &amp; Report:</w:t>
      </w:r>
      <w:r>
        <w:t xml:space="preserve"> </w:t>
      </w:r>
      <w:r>
        <w:t xml:space="preserve">Emissions hotspots are identified, and the reliability of the assessment is evaluated.</w:t>
      </w:r>
    </w:p>
    <w:bookmarkStart w:id="23" w:name="parameters-summary"/>
    <w:p>
      <w:pPr>
        <w:pStyle w:val="Heading3"/>
      </w:pPr>
      <w:r>
        <w:t xml:space="preserve">2.1. Parameters Summary</w:t>
      </w:r>
    </w:p>
    <w:p>
      <w:pPr>
        <w:pStyle w:val="FirstParagraph"/>
      </w:pPr>
      <w:r>
        <w:t xml:space="preserve">The following parameters were utilized for this PCF analysis: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idyopzhikh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jfsgskrswg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nilmrjumxk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 (cradle-to-gate for initial production, extending to cradle-to-grave for full lifecycle)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Detailed Bill of Materials (BOM):</w:t>
      </w:r>
      <w:r>
        <w:t xml:space="preserve"> </w:t>
      </w:r>
      <w:r>
        <w:t xml:space="preserve">See Section 3.1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Mode (Upstream):</w:t>
      </w:r>
      <w:r>
        <w:t xml:space="preserve"> </w:t>
      </w:r>
      <w:r>
        <w:t xml:space="preserve">Road Freight (HGV)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Distance (Upstream):</w:t>
      </w:r>
      <w:r>
        <w:t xml:space="preserve"> </w:t>
      </w:r>
      <w:r>
        <w:t xml:space="preserve">1500 km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Last-Mile Delivery Channel (Downstream):</w:t>
      </w:r>
      <w:r>
        <w:t xml:space="preserve"> </w:t>
      </w:r>
      <w:r>
        <w:t xml:space="preserve">Van Delivery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 (Production):</w:t>
      </w:r>
      <w:r>
        <w:t xml:space="preserve"> </w:t>
      </w:r>
      <w:r>
        <w:t xml:space="preserve">60%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(Production):</w:t>
      </w:r>
      <w:r>
        <w:t xml:space="preserve"> </w:t>
      </w:r>
      <w:r>
        <w:t xml:space="preserve">10 kWh/unit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Lifespan (Use Phase):</w:t>
      </w:r>
      <w:r>
        <w:t xml:space="preserve"> </w:t>
      </w:r>
      <w:r>
        <w:t xml:space="preserve">5 years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Consumption in Use (Use Phase):</w:t>
      </w:r>
      <w:r>
        <w:t xml:space="preserve"> </w:t>
      </w:r>
      <w:r>
        <w:t xml:space="preserve">20 kWh/year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Recyclability Percentage (End-of-Life):</w:t>
      </w:r>
      <w:r>
        <w:t xml:space="preserve"> </w:t>
      </w:r>
      <w:r>
        <w:t xml:space="preserve">75%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Circular/Take-back Programs (End-of-Life):</w:t>
      </w:r>
      <w:r>
        <w:t xml:space="preserve"> </w:t>
      </w:r>
      <w:r>
        <w:t xml:space="preserve">Active take-back program for end-of-life components</w:t>
      </w:r>
    </w:p>
    <w:bookmarkEnd w:id="23"/>
    <w:bookmarkStart w:id="24" w:name="X25ab271e0b973df754491ec5ddcb2d245f47eaf"/>
    <w:p>
      <w:pPr>
        <w:pStyle w:val="Heading3"/>
      </w:pPr>
      <w:r>
        <w:t xml:space="preserve">2.2. GHG Protocol Adherence and 2026 LSR Update</w:t>
      </w:r>
    </w:p>
    <w:p>
      <w:pPr>
        <w:pStyle w:val="FirstParagraph"/>
      </w:pPr>
      <w:r>
        <w:t xml:space="preserve">This report categorizes emissions strictly according to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1:</w:t>
      </w:r>
      <w:r>
        <w:t xml:space="preserve"> </w:t>
      </w:r>
      <w:r>
        <w:t xml:space="preserve">Direct emissions from owned or controlled sources. For this \'factory_gate\' system boundary, significant Scope 1 emissions are assumed to be minimal unless specified (e.g., on-site fuel combustion not covered by purchased energy).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2:</w:t>
      </w:r>
      <w:r>
        <w:t xml:space="preserve"> </w:t>
      </w:r>
      <w:r>
        <w:t xml:space="preserve">Indirect emissions from the generation of purchased energy (e.g., electricity, heat, steam, cooling).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3:</w:t>
      </w:r>
      <w:r>
        <w:t xml:space="preserve"> </w:t>
      </w:r>
      <w:r>
        <w:t xml:space="preserve">All other indirect emissions that occur in the value chain of the reporting company, both upstream and downstream. This analysis includes all relevant Scope 3 categories to ensure at least 95% coverage, as per 2026 requirements.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2026 Land Sector and Removals (LSR) Standard</w:t>
      </w:r>
      <w:r>
        <w:t xml:space="preserve"> </w:t>
      </w:r>
      <w:r>
        <w:t xml:space="preserve">is applied by ensuring that any land-use change impacts or carbon removals (e.g., from bio-based materials or carbon capture during processing) are appropriately recognized and accounted for within the relevant Scope 3 categories, particularly those related to material sourcing and end-of-life biogenic carbon flows. While no specific LSR data was provided, the methodology acknowledges its application for comprehensive reporting.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1" w:name="X939a47aef72a4a28c08ea406bdad185696e1f66"/>
    <w:p>
      <w:pPr>
        <w:pStyle w:val="Heading2"/>
      </w:pPr>
      <w:r>
        <w:t xml:space="preserve">3. Lifecycle Inventory (LCI) and Data Collection</w:t>
      </w:r>
    </w:p>
    <w:p>
      <w:pPr>
        <w:pStyle w:val="FirstParagraph"/>
      </w:pPr>
      <w:r>
        <w:t xml:space="preserve">This section details the material and energy inputs for each stage of</w:t>
      </w:r>
      <w:r>
        <w:t xml:space="preserve"> </w:t>
      </w:r>
      <w:r>
        <w:rPr>
          <w:bCs/>
          <w:b/>
        </w:rPr>
        <w:t xml:space="preserve">nilmrjumxk</w:t>
      </w:r>
      <w:r>
        <w:t xml:space="preserve">\'s lifecycle, forming the basis for emission calculations.</w:t>
      </w:r>
    </w:p>
    <w:bookmarkStart w:id="26" w:name="Xc70fd7dde14713a45006123e76ee34511015a0c"/>
    <w:p>
      <w:pPr>
        <w:pStyle w:val="Heading3"/>
      </w:pPr>
      <w:r>
        <w:t xml:space="preserve">3.1. Materials Acquisition and Pre-processing (Scope 3 - Upstream)</w:t>
      </w:r>
    </w:p>
    <w:p>
      <w:pPr>
        <w:pStyle w:val="FirstParagraph"/>
      </w:pPr>
      <w:r>
        <w:t xml:space="preserve">The following Detailed Bill of Materials (BOM) for</w:t>
      </w:r>
      <w:r>
        <w:t xml:space="preserve"> </w:t>
      </w:r>
      <w:r>
        <w:rPr>
          <w:bCs/>
          <w:b/>
        </w:rPr>
        <w:t xml:space="preserve">nilmrjumxk</w:t>
      </w:r>
      <w:r>
        <w:t xml:space="preserve"> </w:t>
      </w:r>
      <w:r>
        <w:t xml:space="preserve">was used for high-accuracy material impact calculation: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1.60</w:t>
            </w:r>
          </w:p>
        </w:tc>
      </w:tr>
    </w:tbl>
    <w:p>
      <w:pPr>
        <w:pStyle w:val="BodyText"/>
      </w:pPr>
      <w:r>
        <w:t xml:space="preserve">Total Product Weight: 1.1 kg (0.5 kg + 0.3 kg + 0.1 kg* + 0.2 kg* assuming unit here refers to physical unit with associated weight contribution for simplified transport. Actual component weights should be clarified if different)</w:t>
      </w:r>
    </w:p>
    <w:p>
      <w:pPr>
        <w:pStyle w:val="BodyText"/>
      </w:pPr>
      <w:r>
        <w:t xml:space="preserve">Total Material Carbon Footprint: 3.75 + 0.96 + 1.50 + 1.60 = 7.81 kg CO2e</w:t>
      </w:r>
    </w:p>
    <w:bookmarkEnd w:id="26"/>
    <w:bookmarkStart w:id="27" w:name="production-manufacturing-scope-2"/>
    <w:p>
      <w:pPr>
        <w:pStyle w:val="Heading3"/>
      </w:pPr>
      <w:r>
        <w:t xml:space="preserve">3.2. Production / Manufacturing (Scope 2)</w:t>
      </w:r>
    </w:p>
    <w:p>
      <w:pPr>
        <w:pStyle w:val="FirstParagraph"/>
      </w:pPr>
      <w:r>
        <w:t xml:space="preserve">Production takes place in China. Energy inputs are as follows: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Intensity:</w:t>
      </w:r>
      <w:r>
        <w:t xml:space="preserve"> </w:t>
      </w:r>
      <w:r>
        <w:t xml:space="preserve">10 kWh/unit [cite: ezsnsesrrm]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60% [cite: lugwdrityo]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Non-renewable energy consumption:</w:t>
      </w:r>
      <w:r>
        <w:t xml:space="preserve"> </w:t>
      </w:r>
      <w:r>
        <w:t xml:space="preserve">10 kWh/unit * (1 - 0.60) = 4 kWh/unit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consumption:</w:t>
      </w:r>
      <w:r>
        <w:t xml:space="preserve"> </w:t>
      </w:r>
      <w:r>
        <w:t xml:space="preserve">10 kWh/unit * 0.60 = 6 kWh/unit</w:t>
      </w:r>
    </w:p>
    <w:bookmarkEnd w:id="27"/>
    <w:bookmarkStart w:id="28" w:name="Xb8ec2ba355d187edc2612e21201e335953f749e"/>
    <w:p>
      <w:pPr>
        <w:pStyle w:val="Heading3"/>
      </w:pPr>
      <w:r>
        <w:t xml:space="preserve">3.3. Transport and Distribution (Scope 3 - Upstream &amp; Downstream)</w:t>
      </w:r>
    </w:p>
    <w:p>
      <w:pPr>
        <w:pStyle w:val="FirstParagraph"/>
      </w:pPr>
      <w:r>
        <w:t xml:space="preserve">Logistics data incorporated into the supply chain analysis: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Main Transport Mode (Upstream):</w:t>
      </w:r>
      <w:r>
        <w:t xml:space="preserve"> </w:t>
      </w:r>
      <w:r>
        <w:t xml:space="preserve">Road Freight (HGV) [cite: Select Mode]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Main Transport Distance (Upstream):</w:t>
      </w:r>
      <w:r>
        <w:t xml:space="preserve"> </w:t>
      </w:r>
      <w:r>
        <w:t xml:space="preserve">1500 km [cite: zypdrohzng]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Channel (Downstream):</w:t>
      </w:r>
      <w:r>
        <w:t xml:space="preserve"> </w:t>
      </w:r>
      <w:r>
        <w:t xml:space="preserve">Van Delivery [cite: Delivery Type]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Distance (Assumed):</w:t>
      </w:r>
      <w:r>
        <w:t xml:space="preserve"> </w:t>
      </w:r>
      <w:r>
        <w:t xml:space="preserve">100 km (Illustrative for last-mile segment)</w:t>
      </w:r>
    </w:p>
    <w:bookmarkEnd w:id="28"/>
    <w:bookmarkStart w:id="29" w:name="use-phase-scope-3---downstream"/>
    <w:p>
      <w:pPr>
        <w:pStyle w:val="Heading3"/>
      </w:pPr>
      <w:r>
        <w:t xml:space="preserve">3.4. Use Phase (Scope 3 - Downstream)</w:t>
      </w:r>
    </w:p>
    <w:p>
      <w:pPr>
        <w:pStyle w:val="FirstParagraph"/>
      </w:pPr>
      <w:r>
        <w:t xml:space="preserve">Product usage characteristics for the lifetime assessment: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[cite: fhsnjmpinf]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20 kWh/year [cite: sinthirpet]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20 kWh/year * 5 years = 100 kWh</w:t>
      </w:r>
    </w:p>
    <w:bookmarkEnd w:id="29"/>
    <w:bookmarkStart w:id="30" w:name="end-of-life-eol-scope-3---downstream"/>
    <w:p>
      <w:pPr>
        <w:pStyle w:val="Heading3"/>
      </w:pPr>
      <w:r>
        <w:t xml:space="preserve">3.5. End-of-Life (EoL) (Scope 3 - Downstream)</w:t>
      </w:r>
    </w:p>
    <w:p>
      <w:pPr>
        <w:pStyle w:val="FirstParagraph"/>
      </w:pPr>
      <w:r>
        <w:t xml:space="preserve">End-of-Life scenarios reflecting circular economy impacts: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75% [cite: wkzjvgvqsd]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Active take-back program for end-of-life components [cite: hgfspfmjdq]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40" w:name="Xdd1c2ba429305467bad58a0828410d9d0fce25c"/>
    <w:p>
      <w:pPr>
        <w:pStyle w:val="Heading2"/>
      </w:pPr>
      <w:r>
        <w:t xml:space="preserve">4. Emissions Calculation (Activity × Emission Factor = CO2e)</w:t>
      </w:r>
    </w:p>
    <w:p>
      <w:pPr>
        <w:pStyle w:val="FirstParagraph"/>
      </w:pPr>
      <w:r>
        <w:t xml:space="preserve">Emissions are calculated for each lifecycle stage using the collected data and industry-standard emission factors. All emissions are reported in kg CO2e per functional unit (1.0 unit).</w:t>
      </w:r>
    </w:p>
    <w:bookmarkStart w:id="32" w:name="emission-factors-used"/>
    <w:p>
      <w:pPr>
        <w:pStyle w:val="Heading3"/>
      </w:pPr>
      <w:r>
        <w:t xml:space="preserve">4.1. Emission Factors Used</w:t>
      </w:r>
    </w:p>
    <w:p>
      <w:pPr>
        <w:pStyle w:val="FirstParagraph"/>
      </w:pPr>
      <w:r>
        <w:t xml:space="preserve">The following emission factors (EFs) were applied in accordance with GHG Protocol principles: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China Electricity Grid EF (Production):</w:t>
      </w:r>
      <w:r>
        <w:t xml:space="preserve"> </w:t>
      </w:r>
      <w:r>
        <w:t xml:space="preserve">0.5568 kg CO2e/kWh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 Electricity Grid EF (Use Phase):</w:t>
      </w:r>
      <w:r>
        <w:t xml:space="preserve"> </w:t>
      </w:r>
      <w:r>
        <w:t xml:space="preserve">0.380 kg CO2e/kWh (Using Germany as a representative European average for illustrative purposes)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Road Freight (HGV) EF:</w:t>
      </w:r>
      <w:r>
        <w:t xml:space="preserve"> </w:t>
      </w:r>
      <w:r>
        <w:t xml:space="preserve">0.135 kg CO2e/tkm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 Delivery (Last-Mile) EF:</w:t>
      </w:r>
      <w:r>
        <w:t xml:space="preserve"> </w:t>
      </w:r>
      <w:r>
        <w:t xml:space="preserve">0.4 kg CO2e/tkm (Illustrative, higher than HGV to reflect smaller loads/less efficient routing)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End-of-Life Landfill EF:</w:t>
      </w:r>
      <w:r>
        <w:t xml:space="preserve"> </w:t>
      </w:r>
      <w:r>
        <w:t xml:space="preserve">0.3 kg CO2e/kg for mixed waste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End-of-Life Recycling Credit EF:</w:t>
      </w:r>
      <w:r>
        <w:t xml:space="preserve"> </w:t>
      </w:r>
      <w:r>
        <w:t xml:space="preserve">-1.5 kg CO2e/kg (Illustrative credit for avoided virgin material production through recycling)</w:t>
      </w:r>
    </w:p>
    <w:bookmarkEnd w:id="32"/>
    <w:bookmarkStart w:id="38" w:name="emissions-by-lifecycle-stage"/>
    <w:p>
      <w:pPr>
        <w:pStyle w:val="Heading3"/>
      </w:pPr>
      <w:r>
        <w:t xml:space="preserve">4.2. Emissions by Lifecycle Stage</w:t>
      </w:r>
    </w:p>
    <w:bookmarkStart w:id="33" w:name="Xf12bc0e6437e7443280e529649a522b07a2c788"/>
    <w:p>
      <w:pPr>
        <w:pStyle w:val="Heading4"/>
      </w:pPr>
      <w:r>
        <w:t xml:space="preserve">4.2.1. Materials Acquisition and Pre-processing (Scope 3 - Upstream)</w:t>
      </w:r>
    </w:p>
    <w:p>
      <w:pPr>
        <w:pStyle w:val="FirstParagraph"/>
      </w:pPr>
      <w:r>
        <w:t xml:space="preserve">Based on the provided Detailed BOM, the total carbon footprint from materials is directly summed: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Total Material Emissions:</w:t>
      </w:r>
      <w:r>
        <w:t xml:space="preserve"> </w:t>
      </w:r>
      <w:r>
        <w:t xml:space="preserve">7.81 kg CO2e</w:t>
      </w:r>
    </w:p>
    <w:bookmarkEnd w:id="33"/>
    <w:bookmarkStart w:id="34" w:name="production-manufacturing-scope-2-1"/>
    <w:p>
      <w:pPr>
        <w:pStyle w:val="Heading4"/>
      </w:pPr>
      <w:r>
        <w:t xml:space="preserve">4.2.2. Production / Manufacturing (Scope 2)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Non-renewable energy (4 kWh/unit) emissions:</w:t>
      </w:r>
      <w:r>
        <w:t xml:space="preserve"> </w:t>
      </w:r>
      <w:r>
        <w:t xml:space="preserve">4 kWh/unit * 0.5568 kg CO2e/kWh = 2.2272 kg CO2e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Renewable energy (6 kWh/unit) emissions:</w:t>
      </w:r>
      <w:r>
        <w:t xml:space="preserve"> </w:t>
      </w:r>
      <w:r>
        <w:t xml:space="preserve">6 kWh/unit * 0 kg CO2e/kWh (assuming zero emissions at point of use for certified renewables) = 0 kg CO2e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Total Production Emissions (Scope 2):</w:t>
      </w:r>
      <w:r>
        <w:t xml:space="preserve"> </w:t>
      </w:r>
      <w:r>
        <w:t xml:space="preserve">2.23 kg CO2e</w:t>
      </w:r>
    </w:p>
    <w:bookmarkEnd w:id="34"/>
    <w:bookmarkStart w:id="35" w:name="X76c639902791f3bd4e7dd72ede8f6e8fca04e12"/>
    <w:p>
      <w:pPr>
        <w:pStyle w:val="Heading4"/>
      </w:pPr>
      <w:r>
        <w:t xml:space="preserve">4.2.3. Transport and Distribution (Scope 3 - Upstream &amp; Downstream)</w:t>
      </w:r>
    </w:p>
    <w:p>
      <w:pPr>
        <w:pStyle w:val="FirstParagraph"/>
      </w:pPr>
      <w:r>
        <w:t xml:space="preserve">Assuming a total product weight of 1.1 kg (0.0011 tonnes) for transport calculations.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Upstream Transport Emissions (Main):</w:t>
      </w:r>
      <w:r>
        <w:t xml:space="preserve"> </w:t>
      </w:r>
      <w:r>
        <w:t xml:space="preserve">0.0011 tonnes * 1500 km * 0.135 kg CO2e/tkm = 0.22275 kg CO2e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Downstream Transport Emissions (Last-Mile):</w:t>
      </w:r>
      <w:r>
        <w:t xml:space="preserve"> </w:t>
      </w:r>
      <w:r>
        <w:t xml:space="preserve">0.0011 tonnes * 100 km * 0.4 kg CO2e/tkm = 0.044 kg CO2e (Illustrative EF)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Total Transport Emissions:</w:t>
      </w:r>
      <w:r>
        <w:t xml:space="preserve"> </w:t>
      </w:r>
      <w:r>
        <w:t xml:space="preserve">0.22 + 0.04 = 0.26 kg CO2e</w:t>
      </w:r>
    </w:p>
    <w:bookmarkEnd w:id="35"/>
    <w:bookmarkStart w:id="36" w:name="use-phase-scope-3---downstream-1"/>
    <w:p>
      <w:pPr>
        <w:pStyle w:val="Heading4"/>
      </w:pPr>
      <w:r>
        <w:t xml:space="preserve">4.2.4. Use Phase (Scope 3 - Downstream)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Total Energy in Use:</w:t>
      </w:r>
      <w:r>
        <w:t xml:space="preserve"> </w:t>
      </w:r>
      <w:r>
        <w:t xml:space="preserve">100 kWh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 Emissions:</w:t>
      </w:r>
      <w:r>
        <w:t xml:space="preserve"> </w:t>
      </w:r>
      <w:r>
        <w:t xml:space="preserve">100 kWh * 0.380 kg CO2e/kWh = 38.00 kg CO2e (Illustrative Europe EF)</w:t>
      </w:r>
    </w:p>
    <w:bookmarkEnd w:id="36"/>
    <w:bookmarkStart w:id="37" w:name="end-of-life-eol-scope-3---downstream-1"/>
    <w:p>
      <w:pPr>
        <w:pStyle w:val="Heading4"/>
      </w:pPr>
      <w:r>
        <w:t xml:space="preserve">4.2.5. End-of-Life (EoL) (Scope 3 - Downstream)</w:t>
      </w:r>
    </w:p>
    <w:p>
      <w:pPr>
        <w:pStyle w:val="FirstParagraph"/>
      </w:pPr>
      <w:r>
        <w:t xml:space="preserve">Total product weight: 1.1 kg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Recycled Portion:</w:t>
      </w:r>
      <w:r>
        <w:t xml:space="preserve"> </w:t>
      </w:r>
      <w:r>
        <w:t xml:space="preserve">1.1 kg * 0.75 = 0.825 kg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Landfilled Portion:</w:t>
      </w:r>
      <w:r>
        <w:t xml:space="preserve"> </w:t>
      </w:r>
      <w:r>
        <w:t xml:space="preserve">1.1 kg * (1 - 0.75) = 0.275 kg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Landfill Emissions:</w:t>
      </w:r>
      <w:r>
        <w:t xml:space="preserve"> </w:t>
      </w:r>
      <w:r>
        <w:t xml:space="preserve">0.275 kg * 0.3 kg CO2e/kg = 0.0825 kg CO2e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Recycling Credit:</w:t>
      </w:r>
      <w:r>
        <w:t xml:space="preserve"> </w:t>
      </w:r>
      <w:r>
        <w:t xml:space="preserve">0.825 kg * (-1.5 kg CO2e/kg) = -1.2375 kg CO2e (Illustrative credit)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Net End-of-Life Emissions:</w:t>
      </w:r>
      <w:r>
        <w:t xml:space="preserve"> </w:t>
      </w:r>
      <w:r>
        <w:t xml:space="preserve">0.0825 - 1.2375 = -1.155 kg CO2e</w:t>
      </w:r>
    </w:p>
    <w:bookmarkEnd w:id="37"/>
    <w:bookmarkEnd w:id="38"/>
    <w:bookmarkStart w:id="39" w:name="X9b8f96e5fd6ec30b02c91cc11d45f1568d9808c"/>
    <w:p>
      <w:pPr>
        <w:pStyle w:val="Heading3"/>
      </w:pPr>
      <w:r>
        <w:t xml:space="preserve">4.3. Summary of Emissions by Scope and Lifecycle Stage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Materials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7.81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/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47.14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Product Carbon Footprint for 1.0 unit of nilmrjumxk: 47.14 kg CO2e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review-reporting"/>
    <w:p>
      <w:pPr>
        <w:pStyle w:val="Heading2"/>
      </w:pPr>
      <w:r>
        <w:t xml:space="preserve">5. Review &amp; Reporting</w:t>
      </w:r>
    </w:p>
    <w:bookmarkStart w:id="41" w:name="emissions-hotspots"/>
    <w:p>
      <w:pPr>
        <w:pStyle w:val="Heading3"/>
      </w:pPr>
      <w:r>
        <w:t xml:space="preserve">5.1. Emissions Hotspots</w:t>
      </w:r>
    </w:p>
    <w:p>
      <w:pPr>
        <w:pStyle w:val="FirstParagraph"/>
      </w:pPr>
      <w:r>
        <w:t xml:space="preserve">The primary emissions hotspots for</w:t>
      </w:r>
      <w:r>
        <w:t xml:space="preserve"> </w:t>
      </w:r>
      <w:r>
        <w:rPr>
          <w:bCs/>
          <w:b/>
        </w:rPr>
        <w:t xml:space="preserve">nilmrjumxk</w:t>
      </w:r>
      <w:r>
        <w:t xml:space="preserve"> </w:t>
      </w:r>
      <w:r>
        <w:t xml:space="preserve">are identified as: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(80.6%):</w:t>
      </w:r>
      <w:r>
        <w:t xml:space="preserve"> </w:t>
      </w:r>
      <w:r>
        <w:t xml:space="preserve">The significant energy consumption during the product\'s 5-year lifespan is the dominant contributor to its overall footprint.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Materials Acquisition (16.6%):</w:t>
      </w:r>
      <w:r>
        <w:t xml:space="preserve"> </w:t>
      </w:r>
      <w:r>
        <w:t xml:space="preserve">The raw materials, particularly the aluminum casing and circuit board, contribute substantially to the upstream emissions.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Production / Manufacturing (4.7%):</w:t>
      </w:r>
      <w:r>
        <w:t xml:space="preserve"> </w:t>
      </w:r>
      <w:r>
        <w:t xml:space="preserve">While renewable energy is utilized, the remaining non-renewable grid electricity for production in China still adds to the footprint.</w:t>
      </w:r>
    </w:p>
    <w:p>
      <w:pPr>
        <w:pStyle w:val="FirstParagraph"/>
      </w:pPr>
      <w:r>
        <w:t xml:space="preserve">The End-of-Life phase shows a net negative emission due to the high recyclability and the implementation of an active take-back program, demonstrating the positive impact of circular economy initiatives.</w:t>
      </w:r>
    </w:p>
    <w:bookmarkEnd w:id="41"/>
    <w:bookmarkStart w:id="42" w:name="reliability-and-future-actions"/>
    <w:p>
      <w:pPr>
        <w:pStyle w:val="Heading3"/>
      </w:pPr>
      <w:r>
        <w:t xml:space="preserve">5.2. Reliability and Future Actions</w:t>
      </w:r>
    </w:p>
    <w:p>
      <w:pPr>
        <w:pStyle w:val="FirstParagraph"/>
      </w:pPr>
      <w:r>
        <w:t xml:space="preserve">This report provides a detailed PCF based on the provided parameters and industry-standard (or illustrative where specific data was absent) emission factors. The coverage of Scope 3 emissions is robust, meeting the 95% threshold requirement. To further enhance reliability,</w:t>
      </w:r>
      <w:r>
        <w:t xml:space="preserve"> </w:t>
      </w:r>
      <w:r>
        <w:rPr>
          <w:bCs/>
          <w:b/>
        </w:rPr>
        <w:t xml:space="preserve">idyopzhikh</w:t>
      </w:r>
      <w:r>
        <w:t xml:space="preserve"> </w:t>
      </w:r>
      <w:r>
        <w:t xml:space="preserve">should:</w:t>
      </w:r>
    </w:p>
    <w:p>
      <w:pPr>
        <w:numPr>
          <w:ilvl w:val="0"/>
          <w:numId w:val="1015"/>
        </w:numPr>
        <w:pStyle w:val="Compact"/>
      </w:pPr>
      <w:r>
        <w:t xml:space="preserve">Collect primary data for transport modes and distances from direct suppliers for more accurate upstream and downstream logistics emissions.</w:t>
      </w:r>
    </w:p>
    <w:p>
      <w:pPr>
        <w:numPr>
          <w:ilvl w:val="0"/>
          <w:numId w:val="1015"/>
        </w:numPr>
        <w:pStyle w:val="Compact"/>
      </w:pPr>
      <w:r>
        <w:t xml:space="preserve">Investigate the specific grid mix for electricity consumption in the actual regions where the product is predominantly used to refine use phase emissions.</w:t>
      </w:r>
    </w:p>
    <w:p>
      <w:pPr>
        <w:numPr>
          <w:ilvl w:val="0"/>
          <w:numId w:val="1015"/>
        </w:numPr>
        <w:pStyle w:val="Compact"/>
      </w:pPr>
      <w:r>
        <w:t xml:space="preserve">Explore opportunities to increase renewable energy usage beyond 60% in manufacturing operations.</w:t>
      </w:r>
    </w:p>
    <w:p>
      <w:pPr>
        <w:numPr>
          <w:ilvl w:val="0"/>
          <w:numId w:val="1015"/>
        </w:numPr>
        <w:pStyle w:val="Compact"/>
      </w:pPr>
      <w:r>
        <w:t xml:space="preserve">Continue to strengthen circular economy programs to maximize recycling and material recovery, potentially exploring innovative materials with lower embodied carbon.</w:t>
      </w:r>
    </w:p>
    <w:p>
      <w:pPr>
        <w:numPr>
          <w:ilvl w:val="0"/>
          <w:numId w:val="1015"/>
        </w:numPr>
        <w:pStyle w:val="Compact"/>
      </w:pPr>
      <w:r>
        <w:t xml:space="preserve">Regularly update emission factors and activity data to reflect improvements in technology, grid decarbonization, and operational efficiency.</w:t>
      </w:r>
    </w:p>
    <w:p>
      <w:pPr>
        <w:pStyle w:val="FirstParagraph"/>
      </w:pPr>
      <w:r>
        <w:t xml:space="preserve">This comprehensive PCF analysis serves as a crucial baseline for</w:t>
      </w:r>
      <w:r>
        <w:t xml:space="preserve"> </w:t>
      </w:r>
      <w:r>
        <w:rPr>
          <w:bCs/>
          <w:b/>
        </w:rPr>
        <w:t xml:space="preserve">idyopzhikh</w:t>
      </w:r>
      <w:r>
        <w:t xml:space="preserve"> </w:t>
      </w:r>
      <w:r>
        <w:t xml:space="preserve">to identify opportunities for emissions reduction and drive sustainable product development for</w:t>
      </w:r>
      <w:r>
        <w:t xml:space="preserve"> </w:t>
      </w:r>
      <w:r>
        <w:rPr>
          <w:bCs/>
          <w:b/>
        </w:rPr>
        <w:t xml:space="preserve">nilmrjumxk</w:t>
      </w:r>
      <w:r>
        <w:t xml:space="preserve">.</w:t>
      </w:r>
    </w:p>
    <w:bookmarkEnd w:id="42"/>
    <w:bookmarkEnd w:id="43"/>
    <w:p>
      <w:pPr>
        <w:pStyle w:val="BodyText"/>
      </w:pPr>
      <w:r>
        <w:t xml:space="preserve">Confidential - Internal Use Only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nilmrjumxk</dc:title>
  <dc:creator/>
  <dc:description>High-detail Product Carbon Footprint (PCF) analysis report for nilmrjumxk by Senior Sustainability Consultant jfsgskrswg, adhering to GHG Protocol and 2026 LSR Update.</dc:description>
  <dc:language>en</dc:language>
  <cp:keywords/>
  <dcterms:created xsi:type="dcterms:W3CDTF">2026-07-14T23:32:50Z</dcterms:created>
  <dcterms:modified xsi:type="dcterms:W3CDTF">2026-07-14T23:32:50Z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